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Cambria" w:hAnsi="Cambria"/>
          <w:b/>
          <w:color w:val="022B4D"/>
          <w:sz w:val="48"/>
        </w:rPr>
        <w:t>How to Read Sheet Music</w:t>
      </w:r>
    </w:p>
    <w:p>
      <w:pPr>
        <w:jc w:val="center"/>
      </w:pPr>
      <w:r>
        <w:rPr>
          <w:rFonts w:ascii="Aptos" w:hAnsi="Aptos"/>
          <w:color w:val="4B5563"/>
          <w:sz w:val="24"/>
        </w:rPr>
        <w:t>Word-Ready Revision Pack</w:t>
        <w:br/>
        <w:t>10 Reading Sheets for Study</w:t>
      </w:r>
    </w:p>
    <w:tbl>
      <w:tblPr>
        <w:tblW w:type="auto" w:w="0"/>
        <w:jc w:val="center"/>
        <w:tblLook w:firstColumn="1" w:firstRow="1" w:lastColumn="0" w:lastRow="0" w:noHBand="0" w:noVBand="1" w:val="04A0"/>
      </w:tblPr>
      <w:tblGrid>
        <w:gridCol w:w="9936"/>
      </w:tblGrid>
      <w:tr>
        <w:tc>
          <w:tcPr>
            <w:tcW w:type="dxa" w:w="7920"/>
            <w:shd w:fill="C8A96A"/>
          </w:tcPr>
          <w:p>
            <w:r/>
          </w:p>
        </w:tc>
      </w:tr>
    </w:tbl>
    <w:p>
      <w:pPr>
        <w:jc w:val="center"/>
      </w:pPr>
      <w:r>
        <w:rPr>
          <w:sz w:val="21"/>
        </w:rPr>
        <w:t xml:space="preserve">Designed in the visual style of </w:t>
      </w:r>
      <w:hyperlink r:id="rId9">
        <w:r>
          <w:rPr>
            <w:color w:val="022B4D"/>
            <w:b/>
          </w:rPr>
          <w:t>thekingdomofdecrees.com</w:t>
        </w:r>
      </w:hyperlink>
    </w:p>
    <w:p>
      <w:pPr>
        <w:jc w:val="center"/>
      </w:pPr>
      <w:r>
        <w:rPr>
          <w:i/>
          <w:color w:val="5B6470"/>
          <w:sz w:val="20"/>
        </w:rPr>
        <w:t>Brand palette used: deep navy, restrained gold accents, and clean editorial spacing for a polished study document.</w:t>
      </w:r>
    </w:p>
    <w:tbl>
      <w:tblPr>
        <w:tblW w:type="auto" w:w="0"/>
        <w:jc w:val="center"/>
        <w:tblLook w:firstColumn="1" w:firstRow="1" w:lastColumn="0" w:lastRow="0" w:noHBand="0" w:noVBand="1" w:val="04A0"/>
      </w:tblPr>
      <w:tblGrid>
        <w:gridCol w:w="9936"/>
      </w:tblGrid>
      <w:tr>
        <w:tc>
          <w:tcPr>
            <w:tcW w:type="dxa" w:w="9936"/>
            <w:shd w:fill="F4F6F8"/>
            <w:tcMar>
              <w:top w:w="140" w:type="dxa"/>
              <w:start w:w="140" w:type="dxa"/>
              <w:bottom w:w="140" w:type="dxa"/>
              <w:end w:w="140" w:type="dxa"/>
            </w:tcMar>
          </w:tcPr>
          <w:p>
            <w:pPr>
              <w:jc w:val="left"/>
            </w:pPr>
            <w:r>
              <w:rPr>
                <w:sz w:val="21"/>
              </w:rPr>
              <w:t>This revision pack presents the essential building blocks of music notation in a clear, study-friendly format. Each sheet isolates one core idea so that beginners can revise progressively, from the staff and clefs to rhythm, key signatures, dynamics, and basic tablature reading.</w:t>
            </w:r>
          </w:p>
        </w:tc>
      </w:tr>
    </w:tbl>
    <w:p>
      <w:pPr>
        <w:jc w:val="left"/>
      </w:pPr>
      <w:r>
        <w:rPr>
          <w:rFonts w:ascii="Cambria" w:hAnsi="Cambria"/>
          <w:b/>
          <w:color w:val="022B4D"/>
          <w:sz w:val="30"/>
        </w:rPr>
        <w:t>How to use this pack</w:t>
      </w:r>
    </w:p>
    <w:tbl>
      <w:tblPr>
        <w:tblW w:type="auto" w:w="0"/>
        <w:jc w:val="center"/>
        <w:tblLayout w:type="fixed"/>
        <w:tblLook w:firstColumn="1" w:firstRow="1" w:lastColumn="0" w:lastRow="0" w:noHBand="0" w:noVBand="1" w:val="04A0"/>
      </w:tblPr>
      <w:tblGrid>
        <w:gridCol w:w="3312"/>
        <w:gridCol w:w="3312"/>
        <w:gridCol w:w="3312"/>
      </w:tblGrid>
      <w:tr>
        <w:tc>
          <w:tcPr>
            <w:tcW w:type="dxa" w:w="3024"/>
            <w:shd w:fill="EAF0F6"/>
            <w:tcMar>
              <w:top w:w="100" w:type="dxa"/>
              <w:start w:w="110" w:type="dxa"/>
              <w:bottom w:w="100" w:type="dxa"/>
              <w:end w:w="110" w:type="dxa"/>
            </w:tcMar>
            <w:vAlign w:val="center"/>
          </w:tcPr>
          <w:p>
            <w:r>
              <w:rPr>
                <w:b/>
                <w:color w:val="022B4D"/>
                <w:sz w:val="21"/>
              </w:rPr>
              <w:t>Step 1</w:t>
              <w:br/>
            </w:r>
            <w:r>
              <w:rPr>
                <w:sz w:val="19"/>
              </w:rPr>
              <w:t>Read the focus line first so you know exactly what each sheet covers.</w:t>
            </w:r>
          </w:p>
        </w:tc>
        <w:tc>
          <w:tcPr>
            <w:tcW w:type="dxa" w:w="3024"/>
            <w:shd w:fill="EAF0F6"/>
            <w:tcMar>
              <w:top w:w="100" w:type="dxa"/>
              <w:start w:w="110" w:type="dxa"/>
              <w:bottom w:w="100" w:type="dxa"/>
              <w:end w:w="110" w:type="dxa"/>
            </w:tcMar>
            <w:vAlign w:val="center"/>
          </w:tcPr>
          <w:p>
            <w:r>
              <w:rPr>
                <w:b/>
                <w:color w:val="022B4D"/>
                <w:sz w:val="21"/>
              </w:rPr>
              <w:t>Step 2</w:t>
              <w:br/>
            </w:r>
            <w:r>
              <w:rPr>
                <w:sz w:val="19"/>
              </w:rPr>
              <w:t>Work through the explanation carefully, then say the key idea aloud in your own words.</w:t>
            </w:r>
          </w:p>
        </w:tc>
        <w:tc>
          <w:tcPr>
            <w:tcW w:type="dxa" w:w="3024"/>
            <w:shd w:fill="EAF0F6"/>
            <w:tcMar>
              <w:top w:w="100" w:type="dxa"/>
              <w:start w:w="110" w:type="dxa"/>
              <w:bottom w:w="100" w:type="dxa"/>
              <w:end w:w="110" w:type="dxa"/>
            </w:tcMar>
            <w:vAlign w:val="center"/>
          </w:tcPr>
          <w:p>
            <w:r>
              <w:rPr>
                <w:b/>
                <w:color w:val="022B4D"/>
                <w:sz w:val="21"/>
              </w:rPr>
              <w:t>Step 3</w:t>
              <w:br/>
            </w:r>
            <w:r>
              <w:rPr>
                <w:sz w:val="19"/>
              </w:rPr>
              <w:t>Use the examples and summary to revise patterns before practice sessions or tests.</w:t>
            </w:r>
          </w:p>
        </w:tc>
      </w:tr>
    </w:tbl>
    <w:p>
      <w:r>
        <w:br w:type="page"/>
      </w:r>
    </w:p>
    <w:p>
      <w:pPr>
        <w:pStyle w:val="Heading1"/>
        <w:spacing w:after="120"/>
      </w:pPr>
      <w:r>
        <w:t>Reading Sheet 1 — What Is Sheet Music?</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Understanding the purpose of musical notation</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Sheet music is a written system that represents music visually. It tells the performer what pitch to play, how long each sound should last, and how the music should move or feel. Rather than relying entirely on memory or imitation, the musician can read directly from the page and reproduce musical ideas with much greater precision.</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Reading notation builds independence. It helps learners approach new pieces, understand structure more clearly, and communicate more easily with teachers, choirs, ensembles, and other players.</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Sheet music is a visual language for sound.</w:t>
            </w:r>
          </w:p>
        </w:tc>
      </w:tr>
    </w:tbl>
    <w:p>
      <w:r>
        <w:br w:type="page"/>
      </w:r>
    </w:p>
    <w:p>
      <w:pPr>
        <w:pStyle w:val="Heading1"/>
        <w:spacing w:after="120"/>
      </w:pPr>
      <w:r>
        <w:t>Reading Sheet 2 — The Staff</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Recognising the framework of written music</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The staff is made up of five horizontal lines and four spaces. Notes are placed on these lines and spaces to show pitch. A note written higher on the staff usually sounds higher, while a note written lower sounds lower. Once this idea is understood, the page begins to feel far less mysterious.</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Without the staff, musical notes would have no clear position or spatial logic on the page. The staff is the basic framework on which nearly all Western notation is built.</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The staff is the map that shows where notes live.</w:t>
            </w:r>
          </w:p>
        </w:tc>
      </w:tr>
    </w:tbl>
    <w:p>
      <w:r>
        <w:br w:type="page"/>
      </w:r>
    </w:p>
    <w:p>
      <w:pPr>
        <w:pStyle w:val="Heading1"/>
        <w:spacing w:after="120"/>
      </w:pPr>
      <w:r>
        <w:t>Reading Sheet 3 — Clefs</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Identifying the pitch range of the notes</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A clef appears at the beginning of the staff and tells the reader which notes belong to those lines and spaces. The treble clef is used for higher sounds, while the bass clef is used for lower sounds. Other clefs exist, but these two are the most common for beginners.</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Without a clef, the same symbol on the same line could mean different notes. The clef gives the staff its exact meaning.</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A clef unlocks the note names on the staff.</w:t>
            </w:r>
          </w:p>
        </w:tc>
      </w:tr>
    </w:tbl>
    <w:p>
      <w:r>
        <w:br w:type="page"/>
      </w:r>
    </w:p>
    <w:p>
      <w:pPr>
        <w:pStyle w:val="Heading1"/>
        <w:spacing w:after="120"/>
      </w:pPr>
      <w:r>
        <w:t>Reading Sheet 4 — Note Names</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Understanding pitch labels in music</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Music uses seven note names: A, B, C, D, E, F, and G. After G, the sequence begins again. As notes move upward or downward on the staff, they follow this repeating pattern. Beginners often learn these notes one group at a time until recognition becomes more natural.</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Knowing note names is essential because it allows the reader to understand what should be played or sung. It turns abstract symbols into precise musical information.</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The musical alphabet repeats in a simple cycle from A to G.</w:t>
            </w:r>
          </w:p>
        </w:tc>
      </w:tr>
    </w:tbl>
    <w:p/>
    <w:p>
      <w:pPr>
        <w:pStyle w:val="Heading2"/>
      </w:pPr>
      <w:r>
        <w:t>Study example</w:t>
      </w:r>
    </w:p>
    <w:tbl>
      <w:tblPr>
        <w:tblW w:type="auto" w:w="0"/>
        <w:jc w:val="center"/>
        <w:tblLook w:firstColumn="1" w:firstRow="1" w:lastColumn="0" w:lastRow="0" w:noHBand="0" w:noVBand="1" w:val="04A0"/>
      </w:tblPr>
      <w:tblGrid>
        <w:gridCol w:w="9936"/>
      </w:tblGrid>
      <w:tr>
        <w:tc>
          <w:tcPr>
            <w:tcW w:type="dxa" w:w="9936"/>
            <w:shd w:fill="F7F8FA"/>
            <w:tcMar>
              <w:top w:w="110" w:type="dxa"/>
              <w:start w:w="120" w:type="dxa"/>
              <w:bottom w:w="110" w:type="dxa"/>
              <w:end w:w="120" w:type="dxa"/>
            </w:tcMar>
          </w:tcPr>
          <w:p>
            <w:r>
              <w:rPr>
                <w:rFonts w:ascii="Consolas" w:hAnsi="Consolas"/>
                <w:sz w:val="20"/>
              </w:rPr>
              <w:t>Treble clef line notes: E – G – B – D – F</w:t>
              <w:br/>
              <w:t>Treble clef space notes: F – A – C – E</w:t>
              <w:br/>
              <w:t>Bass clef line notes: G – B – D – F – A</w:t>
              <w:br/>
              <w:t>Bass clef space notes: A – C – E – G</w:t>
            </w:r>
          </w:p>
        </w:tc>
      </w:tr>
    </w:tbl>
    <w:p>
      <w:r>
        <w:br w:type="page"/>
      </w:r>
    </w:p>
    <w:p>
      <w:pPr>
        <w:pStyle w:val="Heading1"/>
        <w:spacing w:after="120"/>
      </w:pPr>
      <w:r>
        <w:t>Reading Sheet 5 — Note Values and Rhythm</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Learning how long notes last</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A note shows both pitch and duration. Duration tells the player whether the sound should be held briefly or sustained. Common values include whole notes, half notes, quarter notes, and eighth notes. Together, these values create pulse and movement.</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Rhythm gives music direction. Without note values, the reader would know what to play but not how long to play it.</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Rhythm organises time, and note values show the length of each sound.</w:t>
            </w:r>
          </w:p>
        </w:tc>
      </w:tr>
    </w:tbl>
    <w:p/>
    <w:p>
      <w:pPr>
        <w:pStyle w:val="Heading2"/>
      </w:pPr>
      <w:r>
        <w:t>Study example</w:t>
      </w:r>
    </w:p>
    <w:tbl>
      <w:tblPr>
        <w:tblW w:type="auto" w:w="0"/>
        <w:jc w:val="center"/>
        <w:tblLook w:firstColumn="1" w:firstRow="1" w:lastColumn="0" w:lastRow="0" w:noHBand="0" w:noVBand="1" w:val="04A0"/>
      </w:tblPr>
      <w:tblGrid>
        <w:gridCol w:w="9936"/>
      </w:tblGrid>
      <w:tr>
        <w:tc>
          <w:tcPr>
            <w:tcW w:type="dxa" w:w="9936"/>
            <w:shd w:fill="F7F8FA"/>
            <w:tcMar>
              <w:top w:w="110" w:type="dxa"/>
              <w:start w:w="120" w:type="dxa"/>
              <w:bottom w:w="110" w:type="dxa"/>
              <w:end w:w="120" w:type="dxa"/>
            </w:tcMar>
          </w:tcPr>
          <w:p>
            <w:r>
              <w:rPr>
                <w:rFonts w:ascii="Consolas" w:hAnsi="Consolas"/>
                <w:sz w:val="20"/>
              </w:rPr>
              <w:t>Example count in 4/4:</w:t>
              <w:br/>
              <w:t>Whole note = 4 beats</w:t>
              <w:br/>
              <w:t>Half note = 2 beats</w:t>
              <w:br/>
              <w:t>Quarter note = 1 beat</w:t>
              <w:br/>
              <w:t>Two eighth notes = 1 beat</w:t>
            </w:r>
          </w:p>
        </w:tc>
      </w:tr>
    </w:tbl>
    <w:p>
      <w:r>
        <w:br w:type="page"/>
      </w:r>
    </w:p>
    <w:p>
      <w:pPr>
        <w:pStyle w:val="Heading1"/>
        <w:spacing w:after="120"/>
      </w:pPr>
      <w:r>
        <w:t>Reading Sheet 6 — Rests and Silence</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Understanding pauses in notation</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Music is shaped by silence as well as sound. Rests indicate moments when the performer should stop playing or singing for a measured amount of time. Like notes, rests come in different values, including whole rests, half rests, quarter rests, and eighth rests.</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A musical line becomes clearer when silence is given its proper place. Rests organise phrases, create contrast, and help the rhythm breathe.</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Rests show where silence is part of the music.</w:t>
            </w:r>
          </w:p>
        </w:tc>
      </w:tr>
    </w:tbl>
    <w:p>
      <w:r>
        <w:br w:type="page"/>
      </w:r>
    </w:p>
    <w:p>
      <w:pPr>
        <w:pStyle w:val="Heading1"/>
        <w:spacing w:after="120"/>
      </w:pPr>
      <w:r>
        <w:t>Reading Sheet 7 — Time Signatures</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Understanding how beats are grouped</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The time signature appears near the beginning of a piece and explains how beats are organised. In 4/4 time, there are four beats per measure. In 3/4 time, there are three. The top number shows how many beats are present, and the bottom number shows which note value receives one beat.</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Time signatures help musicians count accurately and feel the pulse of the piece in a consistent way.</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A time signature tells the reader how the beat is organised.</w:t>
            </w:r>
          </w:p>
        </w:tc>
      </w:tr>
    </w:tbl>
    <w:p>
      <w:r>
        <w:br w:type="page"/>
      </w:r>
    </w:p>
    <w:p>
      <w:pPr>
        <w:pStyle w:val="Heading1"/>
        <w:spacing w:after="120"/>
      </w:pPr>
      <w:r>
        <w:t>Reading Sheet 8 — Measures and Bar Lines</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Seeing how music is divided into sections</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Music is separated into measures, also called bars, by vertical bar lines. Each measure contains the number of beats required by the time signature. This division gives the page a sense of order and makes counting easier.</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Measures help readers process music in smaller units. They also make rehearsal, coordination, and phrasing more manageable.</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Bar lines divide music into readable rhythmic sections.</w:t>
            </w:r>
          </w:p>
        </w:tc>
      </w:tr>
    </w:tbl>
    <w:p>
      <w:r>
        <w:br w:type="page"/>
      </w:r>
    </w:p>
    <w:p>
      <w:pPr>
        <w:pStyle w:val="Heading1"/>
        <w:spacing w:after="120"/>
      </w:pPr>
      <w:r>
        <w:t>Reading Sheet 9 — Key Signatures and Accidentals</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Recognising the tonal framework of a piece</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A key signature appears after the clef and shows which notes are regularly sharp or flat throughout the piece. Accidentals, such as sharps, flats, and naturals, temporarily change specific notes within a measure. Together, these symbols help define tonality and musical colour.</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Understanding key signatures makes music easier to read because the performer begins to anticipate recurring note patterns and harmonic shapes.</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Key signatures establish the tonal setting of the music.</w:t>
            </w:r>
          </w:p>
        </w:tc>
      </w:tr>
    </w:tbl>
    <w:p>
      <w:r>
        <w:br w:type="page"/>
      </w:r>
    </w:p>
    <w:p>
      <w:pPr>
        <w:pStyle w:val="Heading1"/>
        <w:spacing w:after="120"/>
      </w:pPr>
      <w:r>
        <w:t>Reading Sheet 10 — Dynamics and Expression</w:t>
      </w:r>
    </w:p>
    <w:tbl>
      <w:tblPr>
        <w:tblW w:type="auto" w:w="0"/>
        <w:jc w:val="center"/>
        <w:tblLayout w:type="fixed"/>
        <w:tblLook w:firstColumn="1" w:firstRow="1" w:lastColumn="0" w:lastRow="0" w:noHBand="0" w:noVBand="1" w:val="04A0"/>
      </w:tblPr>
      <w:tblGrid>
        <w:gridCol w:w="4968"/>
        <w:gridCol w:w="4968"/>
      </w:tblGrid>
      <w:tr>
        <w:tc>
          <w:tcPr>
            <w:tcW w:type="dxa" w:w="2232"/>
            <w:tcMar>
              <w:top w:w="100" w:type="dxa"/>
              <w:start w:w="110" w:type="dxa"/>
              <w:bottom w:w="100" w:type="dxa"/>
              <w:end w:w="110" w:type="dxa"/>
            </w:tcMar>
            <w:vAlign w:val="center"/>
            <w:shd w:fill="EAF0F6"/>
          </w:tcPr>
          <w:p>
            <w:r>
              <w:rPr>
                <w:b/>
                <w:color w:val="022B4D"/>
                <w:sz w:val="21"/>
              </w:rPr>
              <w:t>Focus</w:t>
            </w:r>
          </w:p>
        </w:tc>
        <w:tc>
          <w:tcPr>
            <w:tcW w:type="dxa" w:w="7128"/>
            <w:tcMar>
              <w:top w:w="100" w:type="dxa"/>
              <w:start w:w="110" w:type="dxa"/>
              <w:bottom w:w="100" w:type="dxa"/>
              <w:end w:w="110" w:type="dxa"/>
            </w:tcMar>
            <w:vAlign w:val="center"/>
            <w:shd w:fill="EAF0F6"/>
          </w:tcPr>
          <w:p>
            <w:r>
              <w:rPr>
                <w:sz w:val="20"/>
              </w:rPr>
              <w:t>Bringing written music to life</w:t>
            </w:r>
          </w:p>
        </w:tc>
      </w:tr>
      <w:tr>
        <w:tc>
          <w:tcPr>
            <w:tcW w:type="dxa" w:w="2232"/>
            <w:tcMar>
              <w:top w:w="100" w:type="dxa"/>
              <w:start w:w="110" w:type="dxa"/>
              <w:bottom w:w="100" w:type="dxa"/>
              <w:end w:w="110" w:type="dxa"/>
            </w:tcMar>
            <w:vAlign w:val="center"/>
            <w:shd w:fill="FFFFFF"/>
          </w:tcPr>
          <w:p>
            <w:r>
              <w:rPr>
                <w:b/>
                <w:color w:val="022B4D"/>
                <w:sz w:val="21"/>
              </w:rPr>
              <w:t>Explanation</w:t>
            </w:r>
          </w:p>
        </w:tc>
        <w:tc>
          <w:tcPr>
            <w:tcW w:type="dxa" w:w="7128"/>
            <w:tcMar>
              <w:top w:w="100" w:type="dxa"/>
              <w:start w:w="110" w:type="dxa"/>
              <w:bottom w:w="100" w:type="dxa"/>
              <w:end w:w="110" w:type="dxa"/>
            </w:tcMar>
            <w:vAlign w:val="center"/>
            <w:shd w:fill="FFFFFF"/>
          </w:tcPr>
          <w:p>
            <w:r>
              <w:rPr>
                <w:sz w:val="20"/>
              </w:rPr>
              <w:t>Music notation includes markings that guide interpretation, not simply accuracy. Dynamic signs such as p and f indicate volume, while articulation and tempo markings shape phrasing, speed, and character. These details transform written notes into expressive performance.</w:t>
            </w:r>
          </w:p>
        </w:tc>
      </w:tr>
      <w:tr>
        <w:tc>
          <w:tcPr>
            <w:tcW w:type="dxa" w:w="2232"/>
            <w:tcMar>
              <w:top w:w="100" w:type="dxa"/>
              <w:start w:w="110" w:type="dxa"/>
              <w:bottom w:w="100" w:type="dxa"/>
              <w:end w:w="110" w:type="dxa"/>
            </w:tcMar>
            <w:vAlign w:val="center"/>
            <w:shd w:fill="EEF4ED"/>
          </w:tcPr>
          <w:p>
            <w:r>
              <w:rPr>
                <w:b/>
                <w:color w:val="022B4D"/>
                <w:sz w:val="21"/>
              </w:rPr>
              <w:t>Why it matters</w:t>
            </w:r>
          </w:p>
        </w:tc>
        <w:tc>
          <w:tcPr>
            <w:tcW w:type="dxa" w:w="7128"/>
            <w:tcMar>
              <w:top w:w="100" w:type="dxa"/>
              <w:start w:w="110" w:type="dxa"/>
              <w:bottom w:w="100" w:type="dxa"/>
              <w:end w:w="110" w:type="dxa"/>
            </w:tcMar>
            <w:vAlign w:val="center"/>
            <w:shd w:fill="EEF4ED"/>
          </w:tcPr>
          <w:p>
            <w:r>
              <w:rPr>
                <w:sz w:val="20"/>
              </w:rPr>
              <w:t>Expression matters because music is more than correct notes. These markings show how the sound should be shaped and felt.</w:t>
            </w:r>
          </w:p>
        </w:tc>
      </w:tr>
      <w:tr>
        <w:tc>
          <w:tcPr>
            <w:tcW w:type="dxa" w:w="2232"/>
            <w:tcMar>
              <w:top w:w="100" w:type="dxa"/>
              <w:start w:w="110" w:type="dxa"/>
              <w:bottom w:w="100" w:type="dxa"/>
              <w:end w:w="110" w:type="dxa"/>
            </w:tcMar>
            <w:vAlign w:val="center"/>
            <w:shd w:fill="FFF8E8"/>
          </w:tcPr>
          <w:p>
            <w:r>
              <w:rPr>
                <w:b/>
                <w:color w:val="022B4D"/>
                <w:sz w:val="21"/>
              </w:rPr>
              <w:t>Key idea</w:t>
            </w:r>
          </w:p>
        </w:tc>
        <w:tc>
          <w:tcPr>
            <w:tcW w:type="dxa" w:w="7128"/>
            <w:tcMar>
              <w:top w:w="100" w:type="dxa"/>
              <w:start w:w="110" w:type="dxa"/>
              <w:bottom w:w="100" w:type="dxa"/>
              <w:end w:w="110" w:type="dxa"/>
            </w:tcMar>
            <w:vAlign w:val="center"/>
            <w:shd w:fill="FFF8E8"/>
          </w:tcPr>
          <w:p>
            <w:r>
              <w:rPr>
                <w:sz w:val="20"/>
              </w:rPr>
              <w:t>Sheet music communicates both sound and expression.</w:t>
            </w:r>
          </w:p>
        </w:tc>
      </w:tr>
    </w:tbl>
    <w:p/>
    <w:p>
      <w:pPr>
        <w:pStyle w:val="Heading2"/>
      </w:pPr>
      <w:r>
        <w:t>Study example</w:t>
      </w:r>
    </w:p>
    <w:tbl>
      <w:tblPr>
        <w:tblW w:type="auto" w:w="0"/>
        <w:jc w:val="center"/>
        <w:tblLook w:firstColumn="1" w:firstRow="1" w:lastColumn="0" w:lastRow="0" w:noHBand="0" w:noVBand="1" w:val="04A0"/>
      </w:tblPr>
      <w:tblGrid>
        <w:gridCol w:w="9936"/>
      </w:tblGrid>
      <w:tr>
        <w:tc>
          <w:tcPr>
            <w:tcW w:type="dxa" w:w="9936"/>
            <w:shd w:fill="F7F8FA"/>
            <w:tcMar>
              <w:top w:w="110" w:type="dxa"/>
              <w:start w:w="120" w:type="dxa"/>
              <w:bottom w:w="110" w:type="dxa"/>
              <w:end w:w="120" w:type="dxa"/>
            </w:tcMar>
          </w:tcPr>
          <w:p>
            <w:r>
              <w:rPr>
                <w:rFonts w:ascii="Consolas" w:hAnsi="Consolas"/>
                <w:sz w:val="20"/>
              </w:rPr>
              <w:t>Dynamic example:</w:t>
              <w:br/>
              <w:t>p = soft</w:t>
              <w:br/>
              <w:t>mf = moderately loud</w:t>
              <w:br/>
              <w:t>f = loud</w:t>
              <w:br/>
              <w:t>Crescendo = gradually louder</w:t>
              <w:br/>
              <w:t>Diminuendo = gradually softer</w:t>
            </w:r>
          </w:p>
        </w:tc>
      </w:tr>
    </w:tbl>
    <w:p>
      <w:r>
        <w:br w:type="page"/>
      </w:r>
    </w:p>
    <w:p>
      <w:pPr>
        <w:pStyle w:val="Heading1"/>
      </w:pPr>
      <w:r>
        <w:t>Quick revision summary</w:t>
      </w:r>
    </w:p>
    <w:tbl>
      <w:tblPr>
        <w:tblW w:type="auto" w:w="0"/>
        <w:jc w:val="center"/>
        <w:tblLayout w:type="fixed"/>
        <w:tblLook w:firstColumn="1" w:firstRow="1" w:lastColumn="0" w:lastRow="0" w:noHBand="0" w:noVBand="1" w:val="04A0"/>
      </w:tblPr>
      <w:tblGrid>
        <w:gridCol w:w="4968"/>
        <w:gridCol w:w="4968"/>
      </w:tblGrid>
      <w:tr>
        <w:tc>
          <w:tcPr>
            <w:tcW w:type="dxa" w:w="4968"/>
            <w:tcMar>
              <w:top w:w="100" w:type="dxa"/>
              <w:start w:w="110" w:type="dxa"/>
              <w:bottom w:w="100" w:type="dxa"/>
              <w:end w:w="110" w:type="dxa"/>
            </w:tcMar>
            <w:shd w:fill="EEF3F8"/>
          </w:tcPr>
          <w:p>
            <w:r>
              <w:rPr>
                <w:b/>
                <w:color w:val="022B4D"/>
              </w:rPr>
              <w:t>Core elements to remember</w:t>
            </w:r>
          </w:p>
        </w:tc>
        <w:tc>
          <w:tcPr>
            <w:tcW w:type="dxa" w:w="4968"/>
            <w:tcMar>
              <w:top w:w="100" w:type="dxa"/>
              <w:start w:w="110" w:type="dxa"/>
              <w:bottom w:w="100" w:type="dxa"/>
              <w:end w:w="110" w:type="dxa"/>
            </w:tcMar>
            <w:shd w:fill="F5F7FA"/>
          </w:tcPr>
          <w:p>
            <w:r>
              <w:rPr>
                <w:sz w:val="20"/>
              </w:rPr>
              <w:t>Staff = where notes are written</w:t>
              <w:br/>
              <w:t>Clef = how note positions are named</w:t>
              <w:br/>
              <w:t>Note values and rests = rhythm and silence</w:t>
              <w:br/>
              <w:t>Time signature = beat organisation</w:t>
              <w:br/>
              <w:t>Key signature = tonal setting</w:t>
              <w:br/>
              <w:t>Dynamics and expression = musical interpretation</w:t>
            </w:r>
          </w:p>
        </w:tc>
      </w:tr>
      <w:tr>
        <w:tc>
          <w:tcPr>
            <w:tcW w:type="dxa" w:w="4968"/>
            <w:tcMar>
              <w:top w:w="100" w:type="dxa"/>
              <w:start w:w="110" w:type="dxa"/>
              <w:bottom w:w="100" w:type="dxa"/>
              <w:end w:w="110" w:type="dxa"/>
            </w:tcMar>
            <w:shd w:fill="EEF3F8"/>
          </w:tcPr>
          <w:p>
            <w:r>
              <w:rPr>
                <w:b/>
                <w:color w:val="022B4D"/>
              </w:rPr>
              <w:t>Best study method</w:t>
            </w:r>
          </w:p>
        </w:tc>
        <w:tc>
          <w:tcPr>
            <w:tcW w:type="dxa" w:w="4968"/>
            <w:tcMar>
              <w:top w:w="100" w:type="dxa"/>
              <w:start w:w="110" w:type="dxa"/>
              <w:bottom w:w="100" w:type="dxa"/>
              <w:end w:w="110" w:type="dxa"/>
            </w:tcMar>
            <w:shd w:fill="F5F7FA"/>
          </w:tcPr>
          <w:p>
            <w:r>
              <w:rPr>
                <w:sz w:val="20"/>
              </w:rPr>
              <w:t>Revise one sheet at a time</w:t>
              <w:br/>
              <w:t>Say the key idea aloud after reading</w:t>
              <w:br/>
              <w:t>Match each concept with a practical example on an instrument or voice</w:t>
              <w:br/>
              <w:t>Repeat short passages regularly to build recognition</w:t>
            </w:r>
          </w:p>
        </w:tc>
      </w:tr>
    </w:tbl>
    <w:p>
      <w:pPr>
        <w:jc w:val="center"/>
      </w:pPr>
      <w:hyperlink r:id="rId9">
        <w:r>
          <w:rPr>
            <w:color w:val="022B4D"/>
            <w:b/>
          </w:rPr>
          <w:t>thekingdomofdecrees.com</w:t>
        </w:r>
      </w:hyperlink>
    </w:p>
    <w:p>
      <w:r>
        <w:br w:type="page"/>
      </w:r>
    </w:p>
    <w:p>
      <w:pPr>
        <w:pStyle w:val="Heading1"/>
      </w:pPr>
      <w:r>
        <w:t>Bonus study page — Basic tablature examples</w:t>
      </w:r>
    </w:p>
    <w:p>
      <w:r>
        <w:rPr>
          <w:sz w:val="20"/>
        </w:rPr>
        <w:t>Tablature, often called tab, is a practical reading system used especially for guitar, bass, and similar string instruments. Instead of showing pitch on a staff, it shows the string to use and the fret number to press. The highest line is the highest-pitched string.</w:t>
      </w:r>
    </w:p>
    <w:p>
      <w:pPr>
        <w:pStyle w:val="Heading2"/>
      </w:pPr>
      <w:r>
        <w:t>Example 1 — Single-string melody</w:t>
      </w:r>
    </w:p>
    <w:tbl>
      <w:tblPr>
        <w:tblW w:type="auto" w:w="0"/>
        <w:jc w:val="center"/>
        <w:tblLayout w:type="fixed"/>
        <w:tblLook w:firstColumn="1" w:firstRow="1" w:lastColumn="0" w:lastRow="0" w:noHBand="0" w:noVBand="1" w:val="04A0"/>
      </w:tblPr>
      <w:tblGrid>
        <w:gridCol w:w="4968"/>
        <w:gridCol w:w="4968"/>
      </w:tblGrid>
      <w:tr>
        <w:tc>
          <w:tcPr>
            <w:tcW w:type="dxa" w:w="4032"/>
            <w:shd w:fill="F7F8FA"/>
            <w:tcMar>
              <w:top w:w="100" w:type="dxa"/>
              <w:start w:w="110" w:type="dxa"/>
              <w:bottom w:w="100" w:type="dxa"/>
              <w:end w:w="110" w:type="dxa"/>
            </w:tcMar>
          </w:tcPr>
          <w:p>
            <w:r>
              <w:rPr>
                <w:rFonts w:ascii="Consolas" w:hAnsi="Consolas"/>
                <w:sz w:val="21"/>
              </w:rPr>
              <w:t>e|----------------|</w:t>
              <w:br/>
              <w:t>B|----------------|</w:t>
              <w:br/>
              <w:t>G|----------------|</w:t>
              <w:br/>
              <w:t>D|----------------|</w:t>
              <w:br/>
              <w:t>A|--0--2--3--2--0-|</w:t>
              <w:br/>
              <w:t>E|----------------|</w:t>
            </w:r>
          </w:p>
        </w:tc>
        <w:tc>
          <w:tcPr>
            <w:tcW w:type="dxa" w:w="5184"/>
            <w:shd w:fill="FFFFFF"/>
            <w:tcMar>
              <w:top w:w="100" w:type="dxa"/>
              <w:start w:w="110" w:type="dxa"/>
              <w:bottom w:w="100" w:type="dxa"/>
              <w:end w:w="110" w:type="dxa"/>
            </w:tcMar>
          </w:tcPr>
          <w:p>
            <w:r>
              <w:rPr>
                <w:sz w:val="20"/>
              </w:rPr>
              <w:t>This example is played on one string. The numbers show the frets, and the order shows the melodic movement.</w:t>
            </w:r>
          </w:p>
        </w:tc>
      </w:tr>
    </w:tbl>
    <w:p>
      <w:pPr>
        <w:pStyle w:val="Heading2"/>
      </w:pPr>
      <w:r>
        <w:t>Example 2 — Simple chord shape</w:t>
      </w:r>
    </w:p>
    <w:tbl>
      <w:tblPr>
        <w:tblW w:type="auto" w:w="0"/>
        <w:jc w:val="center"/>
        <w:tblLayout w:type="fixed"/>
        <w:tblLook w:firstColumn="1" w:firstRow="1" w:lastColumn="0" w:lastRow="0" w:noHBand="0" w:noVBand="1" w:val="04A0"/>
      </w:tblPr>
      <w:tblGrid>
        <w:gridCol w:w="4968"/>
        <w:gridCol w:w="4968"/>
      </w:tblGrid>
      <w:tr>
        <w:tc>
          <w:tcPr>
            <w:tcW w:type="dxa" w:w="4032"/>
            <w:shd w:fill="F7F8FA"/>
            <w:tcMar>
              <w:top w:w="100" w:type="dxa"/>
              <w:start w:w="110" w:type="dxa"/>
              <w:bottom w:w="100" w:type="dxa"/>
              <w:end w:w="110" w:type="dxa"/>
            </w:tcMar>
          </w:tcPr>
          <w:p>
            <w:r>
              <w:rPr>
                <w:rFonts w:ascii="Consolas" w:hAnsi="Consolas"/>
                <w:sz w:val="21"/>
              </w:rPr>
              <w:t>e|--0--|</w:t>
              <w:br/>
              <w:t>B|--1--|</w:t>
              <w:br/>
              <w:t>G|--0--|</w:t>
              <w:br/>
              <w:t>D|--2--|</w:t>
              <w:br/>
              <w:t>A|--3--|</w:t>
              <w:br/>
              <w:t>E|-----|</w:t>
            </w:r>
          </w:p>
        </w:tc>
        <w:tc>
          <w:tcPr>
            <w:tcW w:type="dxa" w:w="5184"/>
            <w:shd w:fill="FFFFFF"/>
            <w:tcMar>
              <w:top w:w="100" w:type="dxa"/>
              <w:start w:w="110" w:type="dxa"/>
              <w:bottom w:w="100" w:type="dxa"/>
              <w:end w:w="110" w:type="dxa"/>
            </w:tcMar>
          </w:tcPr>
          <w:p>
            <w:r>
              <w:rPr>
                <w:sz w:val="20"/>
              </w:rPr>
              <w:t>These stacked numbers form a basic C major chord. When notes appear vertically aligned, they are played together.</w:t>
            </w:r>
          </w:p>
        </w:tc>
      </w:tr>
    </w:tbl>
    <w:p>
      <w:pPr>
        <w:pStyle w:val="Heading2"/>
      </w:pPr>
      <w:r>
        <w:t>Example 3 — Open-string rhythm pattern</w:t>
      </w:r>
    </w:p>
    <w:tbl>
      <w:tblPr>
        <w:tblW w:type="auto" w:w="0"/>
        <w:jc w:val="center"/>
        <w:tblLayout w:type="fixed"/>
        <w:tblLook w:firstColumn="1" w:firstRow="1" w:lastColumn="0" w:lastRow="0" w:noHBand="0" w:noVBand="1" w:val="04A0"/>
      </w:tblPr>
      <w:tblGrid>
        <w:gridCol w:w="4968"/>
        <w:gridCol w:w="4968"/>
      </w:tblGrid>
      <w:tr>
        <w:tc>
          <w:tcPr>
            <w:tcW w:type="dxa" w:w="4032"/>
            <w:shd w:fill="F7F8FA"/>
            <w:tcMar>
              <w:top w:w="100" w:type="dxa"/>
              <w:start w:w="110" w:type="dxa"/>
              <w:bottom w:w="100" w:type="dxa"/>
              <w:end w:w="110" w:type="dxa"/>
            </w:tcMar>
          </w:tcPr>
          <w:p>
            <w:r>
              <w:rPr>
                <w:rFonts w:ascii="Consolas" w:hAnsi="Consolas"/>
                <w:sz w:val="21"/>
              </w:rPr>
              <w:t>e|----------------|</w:t>
              <w:br/>
              <w:t>B|----------------|</w:t>
              <w:br/>
              <w:t>G|----------------|</w:t>
              <w:br/>
              <w:t>D|--0---0---0---0-|</w:t>
              <w:br/>
              <w:t>A|----------------|</w:t>
              <w:br/>
              <w:t>E|----------------|</w:t>
            </w:r>
          </w:p>
        </w:tc>
        <w:tc>
          <w:tcPr>
            <w:tcW w:type="dxa" w:w="5184"/>
            <w:shd w:fill="FFFFFF"/>
            <w:tcMar>
              <w:top w:w="100" w:type="dxa"/>
              <w:start w:w="110" w:type="dxa"/>
              <w:bottom w:w="100" w:type="dxa"/>
              <w:end w:w="110" w:type="dxa"/>
            </w:tcMar>
          </w:tcPr>
          <w:p>
            <w:r>
              <w:rPr>
                <w:sz w:val="20"/>
              </w:rPr>
              <w:t>Repeated open-string notes can help beginners connect tablature reading with beat counting and steady pulse.</w:t>
            </w:r>
          </w:p>
        </w:tc>
      </w:tr>
    </w:tbl>
    <w:p>
      <w:r>
        <w:rPr>
          <w:i/>
        </w:rPr>
        <w:t>Helpful reminder: standard notation and tablature can be used together. Notation shows exact rhythmic value and pitch relationships, while tablature offers a direct fingering guide for the instrument.</w:t>
      </w:r>
    </w:p>
    <w:sectPr w:rsidR="00FC693F" w:rsidRPr="0006063C" w:rsidSect="00034616">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color w:val="222222"/>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Cambria" w:hAnsi="Cambria"/>
      <w:b/>
      <w:bCs/>
      <w:color w:val="022B4D"/>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Cambria" w:hAnsi="Cambria"/>
      <w:b/>
      <w:bCs/>
      <w:color w:val="022B4D"/>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yperlink" Target="https://thekingdomofdecre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