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rFonts w:ascii="Garamond" w:hAnsi="Garamond"/>
          <w:b/>
          <w:i w:val="0"/>
          <w:color w:val="9D2235"/>
          <w:sz w:val="52"/>
        </w:rPr>
        <w:t>Rapport d’activité — Poste diplomatique</w:t>
      </w:r>
    </w:p>
    <w:p>
      <w:r>
        <w:rPr>
          <w:rFonts w:ascii="Garamond" w:hAnsi="Garamond"/>
          <w:b w:val="0"/>
          <w:i w:val="0"/>
          <w:color w:val="0F1D40"/>
          <w:sz w:val="28"/>
        </w:rPr>
        <w:t>Ambassade/Consulat de [Pays d’envoi] à [Ville/Pays d’accueil]</w:t>
      </w:r>
    </w:p>
    <w:tbl>
      <w:tblPr>
        <w:tblW w:type="auto" w:w="0"/>
        <w:tblLook w:firstColumn="1" w:firstRow="1" w:lastColumn="0" w:lastRow="0" w:noHBand="0" w:noVBand="1" w:val="04A0"/>
      </w:tblPr>
      <w:tblGrid>
        <w:gridCol w:w="9412"/>
      </w:tblGrid>
      <w:tr>
        <w:tc>
          <w:tcPr>
            <w:tcW w:type="dxa" w:w="9412"/>
            <w:shd w:val="clear" w:color="auto" w:fill="9D2235"/>
          </w:tcPr>
          <w:p/>
        </w:tc>
      </w:tr>
    </w:tbl>
    <w:p>
      <w:r>
        <w:rPr>
          <w:rFonts w:ascii="Cambria" w:hAnsi="Cambria"/>
          <w:b w:val="0"/>
          <w:i w:val="0"/>
          <w:color w:val="333333"/>
          <w:sz w:val="22"/>
        </w:rPr>
        <w:br/>
        <w:t>Période couverte : [Janvier–Décembre 20XX]</w:t>
        <w:br/>
        <w:t>Degré de diffusion : [Intégrale (interne) / Version de diffusion]</w:t>
        <w:br/>
        <w:t>Point(s) de contact : [Nom, fonction, e-mail institutionnel]</w:t>
        <w:br/>
      </w:r>
    </w:p>
    <w:p>
      <w:r>
        <w:rPr>
          <w:rFonts w:ascii="Cambria" w:hAnsi="Cambria"/>
          <w:b w:val="0"/>
          <w:i w:val="0"/>
          <w:color w:val="333333"/>
          <w:sz w:val="22"/>
        </w:rPr>
        <w:t xml:space="preserve">☐ Intégrale (interne)   </w:t>
      </w:r>
      <w:r>
        <w:rPr>
          <w:rFonts w:ascii="Cambria" w:hAnsi="Cambria"/>
          <w:b w:val="0"/>
          <w:i w:val="0"/>
          <w:color w:val="333333"/>
          <w:sz w:val="22"/>
        </w:rPr>
        <w:t>☐ Version de diffusion</w:t>
      </w:r>
    </w:p>
    <w:p/>
    <w:p>
      <w:r>
        <w:rPr>
          <w:rFonts w:ascii="Cambria" w:hAnsi="Cambria"/>
          <w:b w:val="0"/>
          <w:i w:val="0"/>
          <w:color w:val="333333"/>
          <w:sz w:val="22"/>
        </w:rPr>
        <w:t>Chapeau — L’usage, l’attente, la promesse</w:t>
        <w:br/>
        <w:t>Dans la vie feutrée d’un poste à l’étranger, l’année ressemble rarement à un long fleuve administratif. Elle s’écrit en urgences gérées, en alliances patiemment nouées, en rendez-vous qui déplacent les lignes. Le rapport d’activité donne à cette matière vive une forme stable : il fixe les priorités, qualifie les résultats, et laisse à l’équipe suivante un chemin balisé. L’ambition du présent modèle tient en trois mots : lisibilité, probité, transmission. Il propose une écriture ramassée et exigeante, des tableaux qui éclairent plus qu’ils n’encombrent, et une architecture qui sépare proprement le narratif des preuves et la version interne de la version de diffusion.</w:t>
      </w:r>
    </w:p>
    <w:p/>
    <w:p>
      <w:r>
        <w:rPr>
          <w:rFonts w:ascii="Garamond" w:hAnsi="Garamond"/>
          <w:b/>
          <w:i w:val="0"/>
          <w:color w:val="9D2235"/>
          <w:sz w:val="28"/>
        </w:rPr>
        <w:t>Table des matières</w:t>
      </w:r>
    </w:p>
    <w:p>
      <w:r>
        <w:fldChar w:fldCharType="begin"/>
      </w:r>
      <w:r>
        <w:instrText xml:space="preserve">TOC \o "1-3" \h \z \u</w:instrText>
      </w:r>
      <w:r>
        <w:fldChar w:fldCharType="end"/>
      </w:r>
    </w:p>
    <w:p>
      <w:r>
        <w:rPr>
          <w:rFonts w:ascii="Cambria" w:hAnsi="Cambria"/>
          <w:b w:val="0"/>
          <w:i w:val="0"/>
          <w:color w:val="333333"/>
          <w:sz w:val="18"/>
        </w:rPr>
        <w:t>• Astuce : clic droit &gt; « Mettre à jour les champs » pour actualiser la table des matières.</w:t>
      </w:r>
    </w:p>
    <w:p>
      <w:pPr>
        <w:pStyle w:val="Heading1"/>
      </w:pPr>
      <w:r>
        <w:rPr>
          <w:rFonts w:ascii="Garamond" w:hAnsi="Garamond"/>
          <w:color w:val="9D2235"/>
          <w:sz w:val="32"/>
        </w:rPr>
        <w:t>Résumé exécutif</w:t>
      </w:r>
    </w:p>
    <w:p>
      <w:r>
        <w:t>Exposez en cinq à sept paragraphes le contexte, les trois priorités majeures, les effets tangibles pour les publics, et les jalons à venir. Mentionnez quelques chiffres-clés, toujours expliqués : pour qui, par quel mécanisme, selon quelle preuve.</w:t>
      </w:r>
    </w:p>
    <w:p>
      <w:pPr>
        <w:pStyle w:val="Heading1"/>
      </w:pPr>
      <w:r>
        <w:rPr>
          <w:rFonts w:ascii="Garamond" w:hAnsi="Garamond"/>
          <w:color w:val="9D2235"/>
          <w:sz w:val="32"/>
        </w:rPr>
        <w:t>Faits saillants de l’année</w:t>
      </w:r>
    </w:p>
    <w:p>
      <w:r>
        <w:t>Racontez les moments structurants sous forme de récits brefs : innovation de service consulaire, opération économique concluante, saison culturelle, test grandeur nature du protocole de crise, essor mesuré de la présence numérique.</w:t>
      </w:r>
    </w:p>
    <w:p>
      <w:pPr>
        <w:pStyle w:val="Heading1"/>
      </w:pPr>
      <w:r>
        <w:rPr>
          <w:rFonts w:ascii="Garamond" w:hAnsi="Garamond"/>
          <w:color w:val="9D2235"/>
          <w:sz w:val="32"/>
        </w:rPr>
        <w:t>Résultats par mission (effets &amp; preuves)</w:t>
      </w:r>
    </w:p>
    <w:p>
      <w:r>
        <w:t>Adoptez la séquence « objectif → indicateurs → réalisations → preuves → leçons → prochaines étapes ». Déclinez-la pour : consulaire ; diplomatie économique ; culture/éducation ; communication &amp; influence ; sécurité &amp; gestion de crise.</w:t>
      </w:r>
    </w:p>
    <w:p/>
    <w:p>
      <w:r>
        <w:rPr>
          <w:rFonts w:ascii="Garamond" w:hAnsi="Garamond"/>
          <w:b/>
          <w:i w:val="0"/>
          <w:color w:val="9D2235"/>
          <w:sz w:val="24"/>
        </w:rPr>
        <w:t>Tableau des indicateurs — trame générale</w:t>
      </w:r>
    </w:p>
    <w:tbl>
      <w:tblPr>
        <w:tblStyle w:val="TableGrid"/>
        <w:tblW w:type="auto" w:w="0"/>
        <w:tblLook w:firstColumn="1" w:firstRow="1" w:lastColumn="0" w:lastRow="0" w:noHBand="0" w:noVBand="1" w:val="04A0"/>
      </w:tblPr>
      <w:tblGrid>
        <w:gridCol w:w="1046"/>
        <w:gridCol w:w="1046"/>
        <w:gridCol w:w="1046"/>
        <w:gridCol w:w="1046"/>
        <w:gridCol w:w="1046"/>
        <w:gridCol w:w="1046"/>
        <w:gridCol w:w="1046"/>
        <w:gridCol w:w="1046"/>
        <w:gridCol w:w="1046"/>
      </w:tblGrid>
      <w:tr>
        <w:tc>
          <w:tcPr>
            <w:tcW w:type="dxa" w:w="1046"/>
            <w:shd w:val="clear" w:color="auto" w:fill="9D2235"/>
          </w:tcPr>
          <w:p>
            <w:r>
              <w:rPr>
                <w:rFonts w:ascii="Cambria" w:hAnsi="Cambria"/>
                <w:b/>
                <w:i w:val="0"/>
                <w:color w:val="FFFFFF"/>
                <w:sz w:val="20"/>
              </w:rPr>
              <w:t>Domaine</w:t>
            </w:r>
          </w:p>
        </w:tc>
        <w:tc>
          <w:tcPr>
            <w:tcW w:type="dxa" w:w="1046"/>
            <w:shd w:val="clear" w:color="auto" w:fill="9D2235"/>
          </w:tcPr>
          <w:p>
            <w:r>
              <w:rPr>
                <w:rFonts w:ascii="Cambria" w:hAnsi="Cambria"/>
                <w:b/>
                <w:i w:val="0"/>
                <w:color w:val="FFFFFF"/>
                <w:sz w:val="20"/>
              </w:rPr>
              <w:t>Indicateur</w:t>
            </w:r>
          </w:p>
        </w:tc>
        <w:tc>
          <w:tcPr>
            <w:tcW w:type="dxa" w:w="1046"/>
            <w:shd w:val="clear" w:color="auto" w:fill="9D2235"/>
          </w:tcPr>
          <w:p>
            <w:r>
              <w:rPr>
                <w:rFonts w:ascii="Cambria" w:hAnsi="Cambria"/>
                <w:b/>
                <w:i w:val="0"/>
                <w:color w:val="FFFFFF"/>
                <w:sz w:val="20"/>
              </w:rPr>
              <w:t>Définition</w:t>
            </w:r>
          </w:p>
        </w:tc>
        <w:tc>
          <w:tcPr>
            <w:tcW w:type="dxa" w:w="1046"/>
            <w:shd w:val="clear" w:color="auto" w:fill="9D2235"/>
          </w:tcPr>
          <w:p>
            <w:r>
              <w:rPr>
                <w:rFonts w:ascii="Cambria" w:hAnsi="Cambria"/>
                <w:b/>
                <w:i w:val="0"/>
                <w:color w:val="FFFFFF"/>
                <w:sz w:val="20"/>
              </w:rPr>
              <w:t>Formule</w:t>
            </w:r>
          </w:p>
        </w:tc>
        <w:tc>
          <w:tcPr>
            <w:tcW w:type="dxa" w:w="1046"/>
            <w:shd w:val="clear" w:color="auto" w:fill="9D2235"/>
          </w:tcPr>
          <w:p>
            <w:r>
              <w:rPr>
                <w:rFonts w:ascii="Cambria" w:hAnsi="Cambria"/>
                <w:b/>
                <w:i w:val="0"/>
                <w:color w:val="FFFFFF"/>
                <w:sz w:val="20"/>
              </w:rPr>
              <w:t>Source</w:t>
            </w:r>
          </w:p>
        </w:tc>
        <w:tc>
          <w:tcPr>
            <w:tcW w:type="dxa" w:w="1046"/>
            <w:shd w:val="clear" w:color="auto" w:fill="9D2235"/>
          </w:tcPr>
          <w:p>
            <w:r>
              <w:rPr>
                <w:rFonts w:ascii="Cambria" w:hAnsi="Cambria"/>
                <w:b/>
                <w:i w:val="0"/>
                <w:color w:val="FFFFFF"/>
                <w:sz w:val="20"/>
              </w:rPr>
              <w:t>Fréquence</w:t>
            </w:r>
          </w:p>
        </w:tc>
        <w:tc>
          <w:tcPr>
            <w:tcW w:type="dxa" w:w="1046"/>
            <w:shd w:val="clear" w:color="auto" w:fill="9D2235"/>
          </w:tcPr>
          <w:p>
            <w:r>
              <w:rPr>
                <w:rFonts w:ascii="Cambria" w:hAnsi="Cambria"/>
                <w:b/>
                <w:i w:val="0"/>
                <w:color w:val="FFFFFF"/>
                <w:sz w:val="20"/>
              </w:rPr>
              <w:t>Cible 20XX</w:t>
            </w:r>
          </w:p>
        </w:tc>
        <w:tc>
          <w:tcPr>
            <w:tcW w:type="dxa" w:w="1046"/>
            <w:shd w:val="clear" w:color="auto" w:fill="9D2235"/>
          </w:tcPr>
          <w:p>
            <w:r>
              <w:rPr>
                <w:rFonts w:ascii="Cambria" w:hAnsi="Cambria"/>
                <w:b/>
                <w:i w:val="0"/>
                <w:color w:val="FFFFFF"/>
                <w:sz w:val="20"/>
              </w:rPr>
              <w:t>Réalisé</w:t>
            </w:r>
          </w:p>
        </w:tc>
        <w:tc>
          <w:tcPr>
            <w:tcW w:type="dxa" w:w="1046"/>
            <w:shd w:val="clear" w:color="auto" w:fill="9D2235"/>
          </w:tcPr>
          <w:p>
            <w:r>
              <w:rPr>
                <w:rFonts w:ascii="Cambria" w:hAnsi="Cambria"/>
                <w:b/>
                <w:i w:val="0"/>
                <w:color w:val="FFFFFF"/>
                <w:sz w:val="20"/>
              </w:rPr>
              <w:t>Commentaire</w:t>
            </w:r>
          </w:p>
        </w:tc>
      </w:tr>
      <w:tr>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r>
      <w:tr>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r>
      <w:tr>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r>
    </w:tbl>
    <w:p>
      <w:r>
        <w:rPr>
          <w:rFonts w:ascii="Garamond" w:hAnsi="Garamond"/>
          <w:b/>
          <w:i w:val="0"/>
          <w:color w:val="9D2235"/>
          <w:sz w:val="24"/>
        </w:rPr>
        <w:t>Pipeline diplomatie économique — opportunités &amp; maturité</w:t>
      </w:r>
    </w:p>
    <w:tbl>
      <w:tblPr>
        <w:tblStyle w:val="TableGrid"/>
        <w:tblW w:type="auto" w:w="0"/>
        <w:tblLook w:firstColumn="1" w:firstRow="1" w:lastColumn="0" w:lastRow="0" w:noHBand="0" w:noVBand="1" w:val="04A0"/>
      </w:tblPr>
      <w:tblGrid>
        <w:gridCol w:w="1046"/>
        <w:gridCol w:w="1046"/>
        <w:gridCol w:w="1046"/>
        <w:gridCol w:w="1046"/>
        <w:gridCol w:w="1046"/>
        <w:gridCol w:w="1046"/>
        <w:gridCol w:w="1046"/>
        <w:gridCol w:w="1046"/>
        <w:gridCol w:w="1046"/>
      </w:tblGrid>
      <w:tr>
        <w:tc>
          <w:tcPr>
            <w:tcW w:type="dxa" w:w="1046"/>
            <w:shd w:val="clear" w:color="auto" w:fill="9D2235"/>
          </w:tcPr>
          <w:p>
            <w:r>
              <w:rPr>
                <w:rFonts w:ascii="Cambria" w:hAnsi="Cambria"/>
                <w:b/>
                <w:i w:val="0"/>
                <w:color w:val="FFFFFF"/>
                <w:sz w:val="20"/>
              </w:rPr>
              <w:t>Secteur</w:t>
            </w:r>
          </w:p>
        </w:tc>
        <w:tc>
          <w:tcPr>
            <w:tcW w:type="dxa" w:w="1046"/>
            <w:shd w:val="clear" w:color="auto" w:fill="9D2235"/>
          </w:tcPr>
          <w:p>
            <w:r>
              <w:rPr>
                <w:rFonts w:ascii="Cambria" w:hAnsi="Cambria"/>
                <w:b/>
                <w:i w:val="0"/>
                <w:color w:val="FFFFFF"/>
                <w:sz w:val="20"/>
              </w:rPr>
              <w:t>Entreprise locale</w:t>
            </w:r>
          </w:p>
        </w:tc>
        <w:tc>
          <w:tcPr>
            <w:tcW w:type="dxa" w:w="1046"/>
            <w:shd w:val="clear" w:color="auto" w:fill="9D2235"/>
          </w:tcPr>
          <w:p>
            <w:r>
              <w:rPr>
                <w:rFonts w:ascii="Cambria" w:hAnsi="Cambria"/>
                <w:b/>
                <w:i w:val="0"/>
                <w:color w:val="FFFFFF"/>
                <w:sz w:val="20"/>
              </w:rPr>
              <w:t>Entreprise d’envoi</w:t>
            </w:r>
          </w:p>
        </w:tc>
        <w:tc>
          <w:tcPr>
            <w:tcW w:type="dxa" w:w="1046"/>
            <w:shd w:val="clear" w:color="auto" w:fill="9D2235"/>
          </w:tcPr>
          <w:p>
            <w:r>
              <w:rPr>
                <w:rFonts w:ascii="Cambria" w:hAnsi="Cambria"/>
                <w:b/>
                <w:i w:val="0"/>
                <w:color w:val="FFFFFF"/>
                <w:sz w:val="20"/>
              </w:rPr>
              <w:t>Contact clé</w:t>
            </w:r>
          </w:p>
        </w:tc>
        <w:tc>
          <w:tcPr>
            <w:tcW w:type="dxa" w:w="1046"/>
            <w:shd w:val="clear" w:color="auto" w:fill="9D2235"/>
          </w:tcPr>
          <w:p>
            <w:r>
              <w:rPr>
                <w:rFonts w:ascii="Cambria" w:hAnsi="Cambria"/>
                <w:b/>
                <w:i w:val="0"/>
                <w:color w:val="FFFFFF"/>
                <w:sz w:val="20"/>
              </w:rPr>
              <w:t>Date 1er contact</w:t>
            </w:r>
          </w:p>
        </w:tc>
        <w:tc>
          <w:tcPr>
            <w:tcW w:type="dxa" w:w="1046"/>
            <w:shd w:val="clear" w:color="auto" w:fill="9D2235"/>
          </w:tcPr>
          <w:p>
            <w:r>
              <w:rPr>
                <w:rFonts w:ascii="Cambria" w:hAnsi="Cambria"/>
                <w:b/>
                <w:i w:val="0"/>
                <w:color w:val="FFFFFF"/>
                <w:sz w:val="20"/>
              </w:rPr>
              <w:t>Maturité (M0–M5)</w:t>
            </w:r>
          </w:p>
        </w:tc>
        <w:tc>
          <w:tcPr>
            <w:tcW w:type="dxa" w:w="1046"/>
            <w:shd w:val="clear" w:color="auto" w:fill="9D2235"/>
          </w:tcPr>
          <w:p>
            <w:r>
              <w:rPr>
                <w:rFonts w:ascii="Cambria" w:hAnsi="Cambria"/>
                <w:b/>
                <w:i w:val="0"/>
                <w:color w:val="FFFFFF"/>
                <w:sz w:val="20"/>
              </w:rPr>
              <w:t>Valeur estimée (M€)</w:t>
            </w:r>
          </w:p>
        </w:tc>
        <w:tc>
          <w:tcPr>
            <w:tcW w:type="dxa" w:w="1046"/>
            <w:shd w:val="clear" w:color="auto" w:fill="9D2235"/>
          </w:tcPr>
          <w:p>
            <w:r>
              <w:rPr>
                <w:rFonts w:ascii="Cambria" w:hAnsi="Cambria"/>
                <w:b/>
                <w:i w:val="0"/>
                <w:color w:val="FFFFFF"/>
                <w:sz w:val="20"/>
              </w:rPr>
              <w:t>Prochain jalon</w:t>
            </w:r>
          </w:p>
        </w:tc>
        <w:tc>
          <w:tcPr>
            <w:tcW w:type="dxa" w:w="1046"/>
            <w:shd w:val="clear" w:color="auto" w:fill="9D2235"/>
          </w:tcPr>
          <w:p>
            <w:r>
              <w:rPr>
                <w:rFonts w:ascii="Cambria" w:hAnsi="Cambria"/>
                <w:b/>
                <w:i w:val="0"/>
                <w:color w:val="FFFFFF"/>
                <w:sz w:val="20"/>
              </w:rPr>
              <w:t>Owner</w:t>
            </w:r>
          </w:p>
        </w:tc>
      </w:tr>
      <w:tr>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r>
      <w:tr>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r>
      <w:tr>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r>
      <w:tr>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r>
    </w:tbl>
    <w:p>
      <w:r>
        <w:rPr>
          <w:rFonts w:ascii="Garamond" w:hAnsi="Garamond"/>
          <w:b/>
          <w:i w:val="0"/>
          <w:color w:val="9D2235"/>
          <w:sz w:val="24"/>
        </w:rPr>
        <w:t>Assistance consulaire — performance &amp; qualité</w:t>
      </w:r>
    </w:p>
    <w:tbl>
      <w:tblPr>
        <w:tblStyle w:val="TableGrid"/>
        <w:tblW w:type="auto" w:w="0"/>
        <w:tblLook w:firstColumn="1" w:firstRow="1" w:lastColumn="0" w:lastRow="0" w:noHBand="0" w:noVBand="1" w:val="04A0"/>
      </w:tblPr>
      <w:tblGrid>
        <w:gridCol w:w="1046"/>
        <w:gridCol w:w="1046"/>
        <w:gridCol w:w="1046"/>
        <w:gridCol w:w="1046"/>
        <w:gridCol w:w="1046"/>
        <w:gridCol w:w="1046"/>
        <w:gridCol w:w="1046"/>
        <w:gridCol w:w="1046"/>
        <w:gridCol w:w="1046"/>
      </w:tblGrid>
      <w:tr>
        <w:tc>
          <w:tcPr>
            <w:tcW w:type="dxa" w:w="1046"/>
            <w:shd w:val="clear" w:color="auto" w:fill="9D2235"/>
          </w:tcPr>
          <w:p>
            <w:r>
              <w:rPr>
                <w:rFonts w:ascii="Cambria" w:hAnsi="Cambria"/>
                <w:b/>
                <w:i w:val="0"/>
                <w:color w:val="FFFFFF"/>
                <w:sz w:val="20"/>
              </w:rPr>
              <w:t>Type de cas</w:t>
            </w:r>
          </w:p>
        </w:tc>
        <w:tc>
          <w:tcPr>
            <w:tcW w:type="dxa" w:w="1046"/>
            <w:shd w:val="clear" w:color="auto" w:fill="9D2235"/>
          </w:tcPr>
          <w:p>
            <w:r>
              <w:rPr>
                <w:rFonts w:ascii="Cambria" w:hAnsi="Cambria"/>
                <w:b/>
                <w:i w:val="0"/>
                <w:color w:val="FFFFFF"/>
                <w:sz w:val="20"/>
              </w:rPr>
              <w:t>Volume</w:t>
            </w:r>
          </w:p>
        </w:tc>
        <w:tc>
          <w:tcPr>
            <w:tcW w:type="dxa" w:w="1046"/>
            <w:shd w:val="clear" w:color="auto" w:fill="9D2235"/>
          </w:tcPr>
          <w:p>
            <w:r>
              <w:rPr>
                <w:rFonts w:ascii="Cambria" w:hAnsi="Cambria"/>
                <w:b/>
                <w:i w:val="0"/>
                <w:color w:val="FFFFFF"/>
                <w:sz w:val="20"/>
              </w:rPr>
              <w:t>Délai médian (h/j)</w:t>
            </w:r>
          </w:p>
        </w:tc>
        <w:tc>
          <w:tcPr>
            <w:tcW w:type="dxa" w:w="1046"/>
            <w:shd w:val="clear" w:color="auto" w:fill="9D2235"/>
          </w:tcPr>
          <w:p>
            <w:r>
              <w:rPr>
                <w:rFonts w:ascii="Cambria" w:hAnsi="Cambria"/>
                <w:b/>
                <w:i w:val="0"/>
                <w:color w:val="FFFFFF"/>
                <w:sz w:val="20"/>
              </w:rPr>
              <w:t>≤72h (%)</w:t>
            </w:r>
          </w:p>
        </w:tc>
        <w:tc>
          <w:tcPr>
            <w:tcW w:type="dxa" w:w="1046"/>
            <w:shd w:val="clear" w:color="auto" w:fill="9D2235"/>
          </w:tcPr>
          <w:p>
            <w:r>
              <w:rPr>
                <w:rFonts w:ascii="Cambria" w:hAnsi="Cambria"/>
                <w:b/>
                <w:i w:val="0"/>
                <w:color w:val="FFFFFF"/>
                <w:sz w:val="20"/>
              </w:rPr>
              <w:t>Protocole appliqué</w:t>
            </w:r>
          </w:p>
        </w:tc>
        <w:tc>
          <w:tcPr>
            <w:tcW w:type="dxa" w:w="1046"/>
            <w:shd w:val="clear" w:color="auto" w:fill="9D2235"/>
          </w:tcPr>
          <w:p>
            <w:r>
              <w:rPr>
                <w:rFonts w:ascii="Cambria" w:hAnsi="Cambria"/>
                <w:b/>
                <w:i w:val="0"/>
                <w:color w:val="FFFFFF"/>
                <w:sz w:val="20"/>
              </w:rPr>
              <w:t>Satisfaction (%)</w:t>
            </w:r>
          </w:p>
        </w:tc>
        <w:tc>
          <w:tcPr>
            <w:tcW w:type="dxa" w:w="1046"/>
            <w:shd w:val="clear" w:color="auto" w:fill="9D2235"/>
          </w:tcPr>
          <w:p>
            <w:r>
              <w:rPr>
                <w:rFonts w:ascii="Cambria" w:hAnsi="Cambria"/>
                <w:b/>
                <w:i w:val="0"/>
                <w:color w:val="FFFFFF"/>
                <w:sz w:val="20"/>
              </w:rPr>
              <w:t>Leçon</w:t>
            </w:r>
          </w:p>
        </w:tc>
        <w:tc>
          <w:tcPr>
            <w:tcW w:type="dxa" w:w="1046"/>
            <w:shd w:val="clear" w:color="auto" w:fill="9D2235"/>
          </w:tcPr>
          <w:p>
            <w:r>
              <w:rPr>
                <w:rFonts w:ascii="Cambria" w:hAnsi="Cambria"/>
                <w:b/>
                <w:i w:val="0"/>
                <w:color w:val="FFFFFF"/>
                <w:sz w:val="20"/>
              </w:rPr>
              <w:t>Preuves</w:t>
            </w:r>
          </w:p>
        </w:tc>
        <w:tc>
          <w:tcPr>
            <w:tcW w:type="dxa" w:w="1046"/>
            <w:shd w:val="clear" w:color="auto" w:fill="9D2235"/>
          </w:tcPr>
          <w:p>
            <w:r>
              <w:rPr>
                <w:rFonts w:ascii="Cambria" w:hAnsi="Cambria"/>
                <w:b/>
                <w:i w:val="0"/>
                <w:color w:val="FFFFFF"/>
                <w:sz w:val="20"/>
              </w:rPr>
              <w:t>Référence dossier</w:t>
            </w:r>
          </w:p>
        </w:tc>
      </w:tr>
      <w:tr>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r>
      <w:tr>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r>
      <w:tr>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r>
      <w:tr>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r>
    </w:tbl>
    <w:p>
      <w:r>
        <w:rPr>
          <w:rFonts w:ascii="Garamond" w:hAnsi="Garamond"/>
          <w:b/>
          <w:i w:val="0"/>
          <w:color w:val="9D2235"/>
          <w:sz w:val="24"/>
        </w:rPr>
        <w:t>Calendrier protocolaire — événements &amp; effets</w:t>
      </w:r>
    </w:p>
    <w:tbl>
      <w:tblPr>
        <w:tblStyle w:val="TableGrid"/>
        <w:tblW w:type="auto" w:w="0"/>
        <w:tblLook w:firstColumn="1" w:firstRow="1" w:lastColumn="0" w:lastRow="0" w:noHBand="0" w:noVBand="1" w:val="04A0"/>
      </w:tblPr>
      <w:tblGrid>
        <w:gridCol w:w="1176"/>
        <w:gridCol w:w="1176"/>
        <w:gridCol w:w="1176"/>
        <w:gridCol w:w="1176"/>
        <w:gridCol w:w="1176"/>
        <w:gridCol w:w="1176"/>
        <w:gridCol w:w="1176"/>
        <w:gridCol w:w="1176"/>
      </w:tblGrid>
      <w:tr>
        <w:tc>
          <w:tcPr>
            <w:tcW w:type="dxa" w:w="1176"/>
            <w:shd w:val="clear" w:color="auto" w:fill="9D2235"/>
          </w:tcPr>
          <w:p>
            <w:r>
              <w:rPr>
                <w:rFonts w:ascii="Cambria" w:hAnsi="Cambria"/>
                <w:b/>
                <w:i w:val="0"/>
                <w:color w:val="FFFFFF"/>
                <w:sz w:val="20"/>
              </w:rPr>
              <w:t>Date</w:t>
            </w:r>
          </w:p>
        </w:tc>
        <w:tc>
          <w:tcPr>
            <w:tcW w:type="dxa" w:w="1176"/>
            <w:shd w:val="clear" w:color="auto" w:fill="9D2235"/>
          </w:tcPr>
          <w:p>
            <w:r>
              <w:rPr>
                <w:rFonts w:ascii="Cambria" w:hAnsi="Cambria"/>
                <w:b/>
                <w:i w:val="0"/>
                <w:color w:val="FFFFFF"/>
                <w:sz w:val="20"/>
              </w:rPr>
              <w:t>Événement</w:t>
            </w:r>
          </w:p>
        </w:tc>
        <w:tc>
          <w:tcPr>
            <w:tcW w:type="dxa" w:w="1176"/>
            <w:shd w:val="clear" w:color="auto" w:fill="9D2235"/>
          </w:tcPr>
          <w:p>
            <w:r>
              <w:rPr>
                <w:rFonts w:ascii="Cambria" w:hAnsi="Cambria"/>
                <w:b/>
                <w:i w:val="0"/>
                <w:color w:val="FFFFFF"/>
                <w:sz w:val="20"/>
              </w:rPr>
              <w:t>Format</w:t>
            </w:r>
          </w:p>
        </w:tc>
        <w:tc>
          <w:tcPr>
            <w:tcW w:type="dxa" w:w="1176"/>
            <w:shd w:val="clear" w:color="auto" w:fill="9D2235"/>
          </w:tcPr>
          <w:p>
            <w:r>
              <w:rPr>
                <w:rFonts w:ascii="Cambria" w:hAnsi="Cambria"/>
                <w:b/>
                <w:i w:val="0"/>
                <w:color w:val="FFFFFF"/>
                <w:sz w:val="20"/>
              </w:rPr>
              <w:t>Partenaires</w:t>
            </w:r>
          </w:p>
        </w:tc>
        <w:tc>
          <w:tcPr>
            <w:tcW w:type="dxa" w:w="1176"/>
            <w:shd w:val="clear" w:color="auto" w:fill="9D2235"/>
          </w:tcPr>
          <w:p>
            <w:r>
              <w:rPr>
                <w:rFonts w:ascii="Cambria" w:hAnsi="Cambria"/>
                <w:b/>
                <w:i w:val="0"/>
                <w:color w:val="FFFFFF"/>
                <w:sz w:val="20"/>
              </w:rPr>
              <w:t>Objectif</w:t>
            </w:r>
          </w:p>
        </w:tc>
        <w:tc>
          <w:tcPr>
            <w:tcW w:type="dxa" w:w="1176"/>
            <w:shd w:val="clear" w:color="auto" w:fill="9D2235"/>
          </w:tcPr>
          <w:p>
            <w:r>
              <w:rPr>
                <w:rFonts w:ascii="Cambria" w:hAnsi="Cambria"/>
                <w:b/>
                <w:i w:val="0"/>
                <w:color w:val="FFFFFF"/>
                <w:sz w:val="20"/>
              </w:rPr>
              <w:t>Éléments de langage</w:t>
            </w:r>
          </w:p>
        </w:tc>
        <w:tc>
          <w:tcPr>
            <w:tcW w:type="dxa" w:w="1176"/>
            <w:shd w:val="clear" w:color="auto" w:fill="9D2235"/>
          </w:tcPr>
          <w:p>
            <w:r>
              <w:rPr>
                <w:rFonts w:ascii="Cambria" w:hAnsi="Cambria"/>
                <w:b/>
                <w:i w:val="0"/>
                <w:color w:val="FFFFFF"/>
                <w:sz w:val="20"/>
              </w:rPr>
              <w:t>Publics visés</w:t>
            </w:r>
          </w:p>
        </w:tc>
        <w:tc>
          <w:tcPr>
            <w:tcW w:type="dxa" w:w="1176"/>
            <w:shd w:val="clear" w:color="auto" w:fill="9D2235"/>
          </w:tcPr>
          <w:p>
            <w:r>
              <w:rPr>
                <w:rFonts w:ascii="Cambria" w:hAnsi="Cambria"/>
                <w:b/>
                <w:i w:val="0"/>
                <w:color w:val="FFFFFF"/>
                <w:sz w:val="20"/>
              </w:rPr>
              <w:t>Bilan synthétique</w:t>
            </w:r>
          </w:p>
        </w:tc>
      </w:tr>
      <w:tr>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r>
      <w:tr>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r>
      <w:tr>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r>
      <w:tr>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r>
      <w:tr>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r>
      <w:tr>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r>
    </w:tbl>
    <w:p>
      <w:r>
        <w:rPr>
          <w:rFonts w:ascii="Garamond" w:hAnsi="Garamond"/>
          <w:b/>
          <w:i w:val="0"/>
          <w:color w:val="9D2235"/>
          <w:sz w:val="24"/>
        </w:rPr>
        <w:t>Cartographie des risques — prévention &amp; suivi</w:t>
      </w:r>
    </w:p>
    <w:tbl>
      <w:tblPr>
        <w:tblStyle w:val="TableGrid"/>
        <w:tblW w:type="auto" w:w="0"/>
        <w:tblLook w:firstColumn="1" w:firstRow="1" w:lastColumn="0" w:lastRow="0" w:noHBand="0" w:noVBand="1" w:val="04A0"/>
      </w:tblPr>
      <w:tblGrid>
        <w:gridCol w:w="1046"/>
        <w:gridCol w:w="1046"/>
        <w:gridCol w:w="1046"/>
        <w:gridCol w:w="1046"/>
        <w:gridCol w:w="1046"/>
        <w:gridCol w:w="1046"/>
        <w:gridCol w:w="1046"/>
        <w:gridCol w:w="1046"/>
        <w:gridCol w:w="1046"/>
      </w:tblGrid>
      <w:tr>
        <w:tc>
          <w:tcPr>
            <w:tcW w:type="dxa" w:w="1046"/>
            <w:shd w:val="clear" w:color="auto" w:fill="9D2235"/>
          </w:tcPr>
          <w:p>
            <w:r>
              <w:rPr>
                <w:rFonts w:ascii="Cambria" w:hAnsi="Cambria"/>
                <w:b/>
                <w:i w:val="0"/>
                <w:color w:val="FFFFFF"/>
                <w:sz w:val="20"/>
              </w:rPr>
              <w:t>Risque</w:t>
            </w:r>
          </w:p>
        </w:tc>
        <w:tc>
          <w:tcPr>
            <w:tcW w:type="dxa" w:w="1046"/>
            <w:shd w:val="clear" w:color="auto" w:fill="9D2235"/>
          </w:tcPr>
          <w:p>
            <w:r>
              <w:rPr>
                <w:rFonts w:ascii="Cambria" w:hAnsi="Cambria"/>
                <w:b/>
                <w:i w:val="0"/>
                <w:color w:val="FFFFFF"/>
                <w:sz w:val="20"/>
              </w:rPr>
              <w:t>Probabilité</w:t>
            </w:r>
          </w:p>
        </w:tc>
        <w:tc>
          <w:tcPr>
            <w:tcW w:type="dxa" w:w="1046"/>
            <w:shd w:val="clear" w:color="auto" w:fill="9D2235"/>
          </w:tcPr>
          <w:p>
            <w:r>
              <w:rPr>
                <w:rFonts w:ascii="Cambria" w:hAnsi="Cambria"/>
                <w:b/>
                <w:i w:val="0"/>
                <w:color w:val="FFFFFF"/>
                <w:sz w:val="20"/>
              </w:rPr>
              <w:t>Impact</w:t>
            </w:r>
          </w:p>
        </w:tc>
        <w:tc>
          <w:tcPr>
            <w:tcW w:type="dxa" w:w="1046"/>
            <w:shd w:val="clear" w:color="auto" w:fill="9D2235"/>
          </w:tcPr>
          <w:p>
            <w:r>
              <w:rPr>
                <w:rFonts w:ascii="Cambria" w:hAnsi="Cambria"/>
                <w:b/>
                <w:i w:val="0"/>
                <w:color w:val="FFFFFF"/>
                <w:sz w:val="20"/>
              </w:rPr>
              <w:t>Niveau (PxI)</w:t>
            </w:r>
          </w:p>
        </w:tc>
        <w:tc>
          <w:tcPr>
            <w:tcW w:type="dxa" w:w="1046"/>
            <w:shd w:val="clear" w:color="auto" w:fill="9D2235"/>
          </w:tcPr>
          <w:p>
            <w:r>
              <w:rPr>
                <w:rFonts w:ascii="Cambria" w:hAnsi="Cambria"/>
                <w:b/>
                <w:i w:val="0"/>
                <w:color w:val="FFFFFF"/>
                <w:sz w:val="20"/>
              </w:rPr>
              <w:t>Mesures en place</w:t>
            </w:r>
          </w:p>
        </w:tc>
        <w:tc>
          <w:tcPr>
            <w:tcW w:type="dxa" w:w="1046"/>
            <w:shd w:val="clear" w:color="auto" w:fill="9D2235"/>
          </w:tcPr>
          <w:p>
            <w:r>
              <w:rPr>
                <w:rFonts w:ascii="Cambria" w:hAnsi="Cambria"/>
                <w:b/>
                <w:i w:val="0"/>
                <w:color w:val="FFFFFF"/>
                <w:sz w:val="20"/>
              </w:rPr>
              <w:t>Plan d’atténuation</w:t>
            </w:r>
          </w:p>
        </w:tc>
        <w:tc>
          <w:tcPr>
            <w:tcW w:type="dxa" w:w="1046"/>
            <w:shd w:val="clear" w:color="auto" w:fill="9D2235"/>
          </w:tcPr>
          <w:p>
            <w:r>
              <w:rPr>
                <w:rFonts w:ascii="Cambria" w:hAnsi="Cambria"/>
                <w:b/>
                <w:i w:val="0"/>
                <w:color w:val="FFFFFF"/>
                <w:sz w:val="20"/>
              </w:rPr>
              <w:t>Propriétaire</w:t>
            </w:r>
          </w:p>
        </w:tc>
        <w:tc>
          <w:tcPr>
            <w:tcW w:type="dxa" w:w="1046"/>
            <w:shd w:val="clear" w:color="auto" w:fill="9D2235"/>
          </w:tcPr>
          <w:p>
            <w:r>
              <w:rPr>
                <w:rFonts w:ascii="Cambria" w:hAnsi="Cambria"/>
                <w:b/>
                <w:i w:val="0"/>
                <w:color w:val="FFFFFF"/>
                <w:sz w:val="20"/>
              </w:rPr>
              <w:t>Échéance</w:t>
            </w:r>
          </w:p>
        </w:tc>
        <w:tc>
          <w:tcPr>
            <w:tcW w:type="dxa" w:w="1046"/>
            <w:shd w:val="clear" w:color="auto" w:fill="9D2235"/>
          </w:tcPr>
          <w:p>
            <w:r>
              <w:rPr>
                <w:rFonts w:ascii="Cambria" w:hAnsi="Cambria"/>
                <w:b/>
                <w:i w:val="0"/>
                <w:color w:val="FFFFFF"/>
                <w:sz w:val="20"/>
              </w:rPr>
              <w:t>Statut</w:t>
            </w:r>
          </w:p>
        </w:tc>
      </w:tr>
      <w:tr>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r>
      <w:tr>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r>
      <w:tr>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r>
      <w:tr>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c>
          <w:tcPr>
            <w:tcW w:type="dxa" w:w="1046"/>
          </w:tcPr>
          <w:p>
            <w:r>
              <w:rPr>
                <w:rFonts w:ascii="Cambria" w:hAnsi="Cambria"/>
                <w:b w:val="0"/>
                <w:i w:val="0"/>
                <w:color w:val="333333"/>
                <w:sz w:val="20"/>
              </w:rPr>
              <w:t>[À renseigner]</w:t>
            </w:r>
          </w:p>
        </w:tc>
      </w:tr>
    </w:tbl>
    <w:p>
      <w:r>
        <w:rPr>
          <w:rFonts w:ascii="Garamond" w:hAnsi="Garamond"/>
          <w:b/>
          <w:i w:val="0"/>
          <w:color w:val="9D2235"/>
          <w:sz w:val="24"/>
        </w:rPr>
        <w:t>Plan de communication &amp; influence</w:t>
      </w:r>
    </w:p>
    <w:tbl>
      <w:tblPr>
        <w:tblStyle w:val="TableGrid"/>
        <w:tblW w:type="auto" w:w="0"/>
        <w:tblLook w:firstColumn="1" w:firstRow="1" w:lastColumn="0" w:lastRow="0" w:noHBand="0" w:noVBand="1" w:val="04A0"/>
      </w:tblPr>
      <w:tblGrid>
        <w:gridCol w:w="1176"/>
        <w:gridCol w:w="1176"/>
        <w:gridCol w:w="1176"/>
        <w:gridCol w:w="1176"/>
        <w:gridCol w:w="1176"/>
        <w:gridCol w:w="1176"/>
        <w:gridCol w:w="1176"/>
        <w:gridCol w:w="1176"/>
      </w:tblGrid>
      <w:tr>
        <w:tc>
          <w:tcPr>
            <w:tcW w:type="dxa" w:w="1176"/>
            <w:shd w:val="clear" w:color="auto" w:fill="9D2235"/>
          </w:tcPr>
          <w:p>
            <w:r>
              <w:rPr>
                <w:rFonts w:ascii="Cambria" w:hAnsi="Cambria"/>
                <w:b/>
                <w:i w:val="0"/>
                <w:color w:val="FFFFFF"/>
                <w:sz w:val="20"/>
              </w:rPr>
              <w:t>Message clé</w:t>
            </w:r>
          </w:p>
        </w:tc>
        <w:tc>
          <w:tcPr>
            <w:tcW w:type="dxa" w:w="1176"/>
            <w:shd w:val="clear" w:color="auto" w:fill="9D2235"/>
          </w:tcPr>
          <w:p>
            <w:r>
              <w:rPr>
                <w:rFonts w:ascii="Cambria" w:hAnsi="Cambria"/>
                <w:b/>
                <w:i w:val="0"/>
                <w:color w:val="FFFFFF"/>
                <w:sz w:val="20"/>
              </w:rPr>
              <w:t>Cible prioritaire</w:t>
            </w:r>
          </w:p>
        </w:tc>
        <w:tc>
          <w:tcPr>
            <w:tcW w:type="dxa" w:w="1176"/>
            <w:shd w:val="clear" w:color="auto" w:fill="9D2235"/>
          </w:tcPr>
          <w:p>
            <w:r>
              <w:rPr>
                <w:rFonts w:ascii="Cambria" w:hAnsi="Cambria"/>
                <w:b/>
                <w:i w:val="0"/>
                <w:color w:val="FFFFFF"/>
                <w:sz w:val="20"/>
              </w:rPr>
              <w:t>Canal</w:t>
            </w:r>
          </w:p>
        </w:tc>
        <w:tc>
          <w:tcPr>
            <w:tcW w:type="dxa" w:w="1176"/>
            <w:shd w:val="clear" w:color="auto" w:fill="9D2235"/>
          </w:tcPr>
          <w:p>
            <w:r>
              <w:rPr>
                <w:rFonts w:ascii="Cambria" w:hAnsi="Cambria"/>
                <w:b/>
                <w:i w:val="0"/>
                <w:color w:val="FFFFFF"/>
                <w:sz w:val="20"/>
              </w:rPr>
              <w:t>Porteur</w:t>
            </w:r>
          </w:p>
        </w:tc>
        <w:tc>
          <w:tcPr>
            <w:tcW w:type="dxa" w:w="1176"/>
            <w:shd w:val="clear" w:color="auto" w:fill="9D2235"/>
          </w:tcPr>
          <w:p>
            <w:r>
              <w:rPr>
                <w:rFonts w:ascii="Cambria" w:hAnsi="Cambria"/>
                <w:b/>
                <w:i w:val="0"/>
                <w:color w:val="FFFFFF"/>
                <w:sz w:val="20"/>
              </w:rPr>
              <w:t>Calendrier</w:t>
            </w:r>
          </w:p>
        </w:tc>
        <w:tc>
          <w:tcPr>
            <w:tcW w:type="dxa" w:w="1176"/>
            <w:shd w:val="clear" w:color="auto" w:fill="9D2235"/>
          </w:tcPr>
          <w:p>
            <w:r>
              <w:rPr>
                <w:rFonts w:ascii="Cambria" w:hAnsi="Cambria"/>
                <w:b/>
                <w:i w:val="0"/>
                <w:color w:val="FFFFFF"/>
                <w:sz w:val="20"/>
              </w:rPr>
              <w:t>Indicateur de qualité</w:t>
            </w:r>
          </w:p>
        </w:tc>
        <w:tc>
          <w:tcPr>
            <w:tcW w:type="dxa" w:w="1176"/>
            <w:shd w:val="clear" w:color="auto" w:fill="9D2235"/>
          </w:tcPr>
          <w:p>
            <w:r>
              <w:rPr>
                <w:rFonts w:ascii="Cambria" w:hAnsi="Cambria"/>
                <w:b/>
                <w:i w:val="0"/>
                <w:color w:val="FFFFFF"/>
                <w:sz w:val="20"/>
              </w:rPr>
              <w:t>Preuves</w:t>
            </w:r>
          </w:p>
        </w:tc>
        <w:tc>
          <w:tcPr>
            <w:tcW w:type="dxa" w:w="1176"/>
            <w:shd w:val="clear" w:color="auto" w:fill="9D2235"/>
          </w:tcPr>
          <w:p>
            <w:r>
              <w:rPr>
                <w:rFonts w:ascii="Cambria" w:hAnsi="Cambria"/>
                <w:b/>
                <w:i w:val="0"/>
                <w:color w:val="FFFFFF"/>
                <w:sz w:val="20"/>
              </w:rPr>
              <w:t>Retour terrain</w:t>
            </w:r>
          </w:p>
        </w:tc>
      </w:tr>
      <w:tr>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r>
      <w:tr>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r>
      <w:tr>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r>
      <w:tr>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r>
    </w:tbl>
    <w:p>
      <w:r>
        <w:rPr>
          <w:rFonts w:ascii="Garamond" w:hAnsi="Garamond"/>
          <w:b/>
          <w:i w:val="0"/>
          <w:color w:val="9D2235"/>
          <w:sz w:val="24"/>
        </w:rPr>
        <w:t>Budget &amp; logistique — exécution et écarts</w:t>
      </w:r>
    </w:p>
    <w:tbl>
      <w:tblPr>
        <w:tblStyle w:val="TableGrid"/>
        <w:tblW w:type="auto" w:w="0"/>
        <w:tblLook w:firstColumn="1" w:firstRow="1" w:lastColumn="0" w:lastRow="0" w:noHBand="0" w:noVBand="1" w:val="04A0"/>
      </w:tblPr>
      <w:tblGrid>
        <w:gridCol w:w="1176"/>
        <w:gridCol w:w="1176"/>
        <w:gridCol w:w="1176"/>
        <w:gridCol w:w="1176"/>
        <w:gridCol w:w="1176"/>
        <w:gridCol w:w="1176"/>
        <w:gridCol w:w="1176"/>
        <w:gridCol w:w="1176"/>
      </w:tblGrid>
      <w:tr>
        <w:tc>
          <w:tcPr>
            <w:tcW w:type="dxa" w:w="1176"/>
            <w:shd w:val="clear" w:color="auto" w:fill="9D2235"/>
          </w:tcPr>
          <w:p>
            <w:r>
              <w:rPr>
                <w:rFonts w:ascii="Cambria" w:hAnsi="Cambria"/>
                <w:b/>
                <w:i w:val="0"/>
                <w:color w:val="FFFFFF"/>
                <w:sz w:val="20"/>
              </w:rPr>
              <w:t>Ligne budgétaire</w:t>
            </w:r>
          </w:p>
        </w:tc>
        <w:tc>
          <w:tcPr>
            <w:tcW w:type="dxa" w:w="1176"/>
            <w:shd w:val="clear" w:color="auto" w:fill="9D2235"/>
          </w:tcPr>
          <w:p>
            <w:r>
              <w:rPr>
                <w:rFonts w:ascii="Cambria" w:hAnsi="Cambria"/>
                <w:b/>
                <w:i w:val="0"/>
                <w:color w:val="FFFFFF"/>
                <w:sz w:val="20"/>
              </w:rPr>
              <w:t>Budget (k€)</w:t>
            </w:r>
          </w:p>
        </w:tc>
        <w:tc>
          <w:tcPr>
            <w:tcW w:type="dxa" w:w="1176"/>
            <w:shd w:val="clear" w:color="auto" w:fill="9D2235"/>
          </w:tcPr>
          <w:p>
            <w:r>
              <w:rPr>
                <w:rFonts w:ascii="Cambria" w:hAnsi="Cambria"/>
                <w:b/>
                <w:i w:val="0"/>
                <w:color w:val="FFFFFF"/>
                <w:sz w:val="20"/>
              </w:rPr>
              <w:t>Exécuté (k€)</w:t>
            </w:r>
          </w:p>
        </w:tc>
        <w:tc>
          <w:tcPr>
            <w:tcW w:type="dxa" w:w="1176"/>
            <w:shd w:val="clear" w:color="auto" w:fill="9D2235"/>
          </w:tcPr>
          <w:p>
            <w:r>
              <w:rPr>
                <w:rFonts w:ascii="Cambria" w:hAnsi="Cambria"/>
                <w:b/>
                <w:i w:val="0"/>
                <w:color w:val="FFFFFF"/>
                <w:sz w:val="20"/>
              </w:rPr>
              <w:t>Taux (%)</w:t>
            </w:r>
          </w:p>
        </w:tc>
        <w:tc>
          <w:tcPr>
            <w:tcW w:type="dxa" w:w="1176"/>
            <w:shd w:val="clear" w:color="auto" w:fill="9D2235"/>
          </w:tcPr>
          <w:p>
            <w:r>
              <w:rPr>
                <w:rFonts w:ascii="Cambria" w:hAnsi="Cambria"/>
                <w:b/>
                <w:i w:val="0"/>
                <w:color w:val="FFFFFF"/>
                <w:sz w:val="20"/>
              </w:rPr>
              <w:t>Écart (k€)</w:t>
            </w:r>
          </w:p>
        </w:tc>
        <w:tc>
          <w:tcPr>
            <w:tcW w:type="dxa" w:w="1176"/>
            <w:shd w:val="clear" w:color="auto" w:fill="9D2235"/>
          </w:tcPr>
          <w:p>
            <w:r>
              <w:rPr>
                <w:rFonts w:ascii="Cambria" w:hAnsi="Cambria"/>
                <w:b/>
                <w:i w:val="0"/>
                <w:color w:val="FFFFFF"/>
                <w:sz w:val="20"/>
              </w:rPr>
              <w:t>Raison de l’écart</w:t>
            </w:r>
          </w:p>
        </w:tc>
        <w:tc>
          <w:tcPr>
            <w:tcW w:type="dxa" w:w="1176"/>
            <w:shd w:val="clear" w:color="auto" w:fill="9D2235"/>
          </w:tcPr>
          <w:p>
            <w:r>
              <w:rPr>
                <w:rFonts w:ascii="Cambria" w:hAnsi="Cambria"/>
                <w:b/>
                <w:i w:val="0"/>
                <w:color w:val="FFFFFF"/>
                <w:sz w:val="20"/>
              </w:rPr>
              <w:t>Décision/Arbitrage</w:t>
            </w:r>
          </w:p>
        </w:tc>
        <w:tc>
          <w:tcPr>
            <w:tcW w:type="dxa" w:w="1176"/>
            <w:shd w:val="clear" w:color="auto" w:fill="9D2235"/>
          </w:tcPr>
          <w:p>
            <w:r>
              <w:rPr>
                <w:rFonts w:ascii="Cambria" w:hAnsi="Cambria"/>
                <w:b/>
                <w:i w:val="0"/>
                <w:color w:val="FFFFFF"/>
                <w:sz w:val="20"/>
              </w:rPr>
              <w:t>Observations</w:t>
            </w:r>
          </w:p>
        </w:tc>
      </w:tr>
      <w:tr>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r>
      <w:tr>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r>
      <w:tr>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r>
      <w:tr>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r>
    </w:tbl>
    <w:p>
      <w:r>
        <w:rPr>
          <w:rFonts w:ascii="Garamond" w:hAnsi="Garamond"/>
          <w:b/>
          <w:i w:val="0"/>
          <w:color w:val="9D2235"/>
          <w:sz w:val="24"/>
        </w:rPr>
        <w:t>Glossaire des indicateurs — définitions de référence</w:t>
      </w:r>
    </w:p>
    <w:tbl>
      <w:tblPr>
        <w:tblStyle w:val="TableGrid"/>
        <w:tblW w:type="auto" w:w="0"/>
        <w:tblLook w:firstColumn="1" w:firstRow="1" w:lastColumn="0" w:lastRow="0" w:noHBand="0" w:noVBand="1" w:val="04A0"/>
      </w:tblPr>
      <w:tblGrid>
        <w:gridCol w:w="1345"/>
        <w:gridCol w:w="1345"/>
        <w:gridCol w:w="1345"/>
        <w:gridCol w:w="1345"/>
        <w:gridCol w:w="1345"/>
        <w:gridCol w:w="1345"/>
        <w:gridCol w:w="1345"/>
      </w:tblGrid>
      <w:tr>
        <w:tc>
          <w:tcPr>
            <w:tcW w:type="dxa" w:w="1345"/>
            <w:shd w:val="clear" w:color="auto" w:fill="9D2235"/>
          </w:tcPr>
          <w:p>
            <w:r>
              <w:rPr>
                <w:rFonts w:ascii="Cambria" w:hAnsi="Cambria"/>
                <w:b/>
                <w:i w:val="0"/>
                <w:color w:val="FFFFFF"/>
                <w:sz w:val="20"/>
              </w:rPr>
              <w:t>Indicateur</w:t>
            </w:r>
          </w:p>
        </w:tc>
        <w:tc>
          <w:tcPr>
            <w:tcW w:type="dxa" w:w="1345"/>
            <w:shd w:val="clear" w:color="auto" w:fill="9D2235"/>
          </w:tcPr>
          <w:p>
            <w:r>
              <w:rPr>
                <w:rFonts w:ascii="Cambria" w:hAnsi="Cambria"/>
                <w:b/>
                <w:i w:val="0"/>
                <w:color w:val="FFFFFF"/>
                <w:sz w:val="20"/>
              </w:rPr>
              <w:t>Définition</w:t>
            </w:r>
          </w:p>
        </w:tc>
        <w:tc>
          <w:tcPr>
            <w:tcW w:type="dxa" w:w="1345"/>
            <w:shd w:val="clear" w:color="auto" w:fill="9D2235"/>
          </w:tcPr>
          <w:p>
            <w:r>
              <w:rPr>
                <w:rFonts w:ascii="Cambria" w:hAnsi="Cambria"/>
                <w:b/>
                <w:i w:val="0"/>
                <w:color w:val="FFFFFF"/>
                <w:sz w:val="20"/>
              </w:rPr>
              <w:t>Formule</w:t>
            </w:r>
          </w:p>
        </w:tc>
        <w:tc>
          <w:tcPr>
            <w:tcW w:type="dxa" w:w="1345"/>
            <w:shd w:val="clear" w:color="auto" w:fill="9D2235"/>
          </w:tcPr>
          <w:p>
            <w:r>
              <w:rPr>
                <w:rFonts w:ascii="Cambria" w:hAnsi="Cambria"/>
                <w:b/>
                <w:i w:val="0"/>
                <w:color w:val="FFFFFF"/>
                <w:sz w:val="20"/>
              </w:rPr>
              <w:t>Source de donnée</w:t>
            </w:r>
          </w:p>
        </w:tc>
        <w:tc>
          <w:tcPr>
            <w:tcW w:type="dxa" w:w="1345"/>
            <w:shd w:val="clear" w:color="auto" w:fill="9D2235"/>
          </w:tcPr>
          <w:p>
            <w:r>
              <w:rPr>
                <w:rFonts w:ascii="Cambria" w:hAnsi="Cambria"/>
                <w:b/>
                <w:i w:val="0"/>
                <w:color w:val="FFFFFF"/>
                <w:sz w:val="20"/>
              </w:rPr>
              <w:t>Périodicité</w:t>
            </w:r>
          </w:p>
        </w:tc>
        <w:tc>
          <w:tcPr>
            <w:tcW w:type="dxa" w:w="1345"/>
            <w:shd w:val="clear" w:color="auto" w:fill="9D2235"/>
          </w:tcPr>
          <w:p>
            <w:r>
              <w:rPr>
                <w:rFonts w:ascii="Cambria" w:hAnsi="Cambria"/>
                <w:b/>
                <w:i w:val="0"/>
                <w:color w:val="FFFFFF"/>
                <w:sz w:val="20"/>
              </w:rPr>
              <w:t>Périmètre</w:t>
            </w:r>
          </w:p>
        </w:tc>
        <w:tc>
          <w:tcPr>
            <w:tcW w:type="dxa" w:w="1345"/>
            <w:shd w:val="clear" w:color="auto" w:fill="9D2235"/>
          </w:tcPr>
          <w:p>
            <w:r>
              <w:rPr>
                <w:rFonts w:ascii="Cambria" w:hAnsi="Cambria"/>
                <w:b/>
                <w:i w:val="0"/>
                <w:color w:val="FFFFFF"/>
                <w:sz w:val="20"/>
              </w:rPr>
              <w:t>Commentaires</w:t>
            </w:r>
          </w:p>
        </w:tc>
      </w:tr>
      <w:tr>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r>
      <w:tr>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r>
      <w:tr>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r>
    </w:tbl>
    <w:p>
      <w:pPr>
        <w:pStyle w:val="Heading1"/>
      </w:pPr>
      <w:r>
        <w:rPr>
          <w:rFonts w:ascii="Garamond" w:hAnsi="Garamond"/>
          <w:color w:val="9D2235"/>
          <w:sz w:val="32"/>
        </w:rPr>
        <w:t>Gouvernance interne (moyens et conformité)</w:t>
      </w:r>
    </w:p>
    <w:p>
      <w:r>
        <w:t>Exposez clairement l’organisation des ressources humaines, la trajectoire budgétaire, la logistique critique, et le contrôle interne (procédures, risques, actions correctives). Montrez comment l’intendance sert la mission.</w:t>
      </w:r>
    </w:p>
    <w:p>
      <w:pPr>
        <w:pStyle w:val="Heading1"/>
      </w:pPr>
      <w:r>
        <w:rPr>
          <w:rFonts w:ascii="Garamond" w:hAnsi="Garamond"/>
          <w:color w:val="9D2235"/>
          <w:sz w:val="32"/>
        </w:rPr>
        <w:t>Plan à douze mois</w:t>
      </w:r>
    </w:p>
    <w:tbl>
      <w:tblPr>
        <w:tblStyle w:val="TableGrid"/>
        <w:tblW w:type="auto" w:w="0"/>
        <w:tblLook w:firstColumn="1" w:firstRow="1" w:lastColumn="0" w:lastRow="0" w:noHBand="0" w:noVBand="1" w:val="04A0"/>
      </w:tblPr>
      <w:tblGrid>
        <w:gridCol w:w="1176"/>
        <w:gridCol w:w="1176"/>
        <w:gridCol w:w="1176"/>
        <w:gridCol w:w="1176"/>
        <w:gridCol w:w="1176"/>
        <w:gridCol w:w="1176"/>
        <w:gridCol w:w="1176"/>
        <w:gridCol w:w="1176"/>
      </w:tblGrid>
      <w:tr>
        <w:tc>
          <w:tcPr>
            <w:tcW w:type="dxa" w:w="1176"/>
            <w:shd w:val="clear" w:color="auto" w:fill="9D2235"/>
          </w:tcPr>
          <w:p>
            <w:r>
              <w:rPr>
                <w:rFonts w:ascii="Cambria" w:hAnsi="Cambria"/>
                <w:b/>
                <w:i w:val="0"/>
                <w:color w:val="FFFFFF"/>
                <w:sz w:val="20"/>
              </w:rPr>
              <w:t>Chantier prioritaire</w:t>
            </w:r>
          </w:p>
        </w:tc>
        <w:tc>
          <w:tcPr>
            <w:tcW w:type="dxa" w:w="1176"/>
            <w:shd w:val="clear" w:color="auto" w:fill="9D2235"/>
          </w:tcPr>
          <w:p>
            <w:r>
              <w:rPr>
                <w:rFonts w:ascii="Cambria" w:hAnsi="Cambria"/>
                <w:b/>
                <w:i w:val="0"/>
                <w:color w:val="FFFFFF"/>
                <w:sz w:val="20"/>
              </w:rPr>
              <w:t>Objectif</w:t>
            </w:r>
          </w:p>
        </w:tc>
        <w:tc>
          <w:tcPr>
            <w:tcW w:type="dxa" w:w="1176"/>
            <w:shd w:val="clear" w:color="auto" w:fill="9D2235"/>
          </w:tcPr>
          <w:p>
            <w:r>
              <w:rPr>
                <w:rFonts w:ascii="Cambria" w:hAnsi="Cambria"/>
                <w:b/>
                <w:i w:val="0"/>
                <w:color w:val="FFFFFF"/>
                <w:sz w:val="20"/>
              </w:rPr>
              <w:t>Jalons (dates)</w:t>
            </w:r>
          </w:p>
        </w:tc>
        <w:tc>
          <w:tcPr>
            <w:tcW w:type="dxa" w:w="1176"/>
            <w:shd w:val="clear" w:color="auto" w:fill="9D2235"/>
          </w:tcPr>
          <w:p>
            <w:r>
              <w:rPr>
                <w:rFonts w:ascii="Cambria" w:hAnsi="Cambria"/>
                <w:b/>
                <w:i w:val="0"/>
                <w:color w:val="FFFFFF"/>
                <w:sz w:val="20"/>
              </w:rPr>
              <w:t>Risques</w:t>
            </w:r>
          </w:p>
        </w:tc>
        <w:tc>
          <w:tcPr>
            <w:tcW w:type="dxa" w:w="1176"/>
            <w:shd w:val="clear" w:color="auto" w:fill="9D2235"/>
          </w:tcPr>
          <w:p>
            <w:r>
              <w:rPr>
                <w:rFonts w:ascii="Cambria" w:hAnsi="Cambria"/>
                <w:b/>
                <w:i w:val="0"/>
                <w:color w:val="FFFFFF"/>
                <w:sz w:val="20"/>
              </w:rPr>
              <w:t>Dépendances</w:t>
            </w:r>
          </w:p>
        </w:tc>
        <w:tc>
          <w:tcPr>
            <w:tcW w:type="dxa" w:w="1176"/>
            <w:shd w:val="clear" w:color="auto" w:fill="9D2235"/>
          </w:tcPr>
          <w:p>
            <w:r>
              <w:rPr>
                <w:rFonts w:ascii="Cambria" w:hAnsi="Cambria"/>
                <w:b/>
                <w:i w:val="0"/>
                <w:color w:val="FFFFFF"/>
                <w:sz w:val="20"/>
              </w:rPr>
              <w:t>Responsable</w:t>
            </w:r>
          </w:p>
        </w:tc>
        <w:tc>
          <w:tcPr>
            <w:tcW w:type="dxa" w:w="1176"/>
            <w:shd w:val="clear" w:color="auto" w:fill="9D2235"/>
          </w:tcPr>
          <w:p>
            <w:r>
              <w:rPr>
                <w:rFonts w:ascii="Cambria" w:hAnsi="Cambria"/>
                <w:b/>
                <w:i w:val="0"/>
                <w:color w:val="FFFFFF"/>
                <w:sz w:val="20"/>
              </w:rPr>
              <w:t>Ressources</w:t>
            </w:r>
          </w:p>
        </w:tc>
        <w:tc>
          <w:tcPr>
            <w:tcW w:type="dxa" w:w="1176"/>
            <w:shd w:val="clear" w:color="auto" w:fill="9D2235"/>
          </w:tcPr>
          <w:p>
            <w:r>
              <w:rPr>
                <w:rFonts w:ascii="Cambria" w:hAnsi="Cambria"/>
                <w:b/>
                <w:i w:val="0"/>
                <w:color w:val="FFFFFF"/>
                <w:sz w:val="20"/>
              </w:rPr>
              <w:t>Indicateur d’impact</w:t>
            </w:r>
          </w:p>
        </w:tc>
      </w:tr>
      <w:tr>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r>
      <w:tr>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r>
      <w:tr>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c>
          <w:tcPr>
            <w:tcW w:type="dxa" w:w="1176"/>
          </w:tcPr>
          <w:p>
            <w:r>
              <w:rPr>
                <w:rFonts w:ascii="Cambria" w:hAnsi="Cambria"/>
                <w:b w:val="0"/>
                <w:i w:val="0"/>
                <w:color w:val="333333"/>
                <w:sz w:val="20"/>
              </w:rPr>
              <w:t>[À renseigner]</w:t>
            </w:r>
          </w:p>
        </w:tc>
      </w:tr>
    </w:tbl>
    <w:p>
      <w:pPr>
        <w:pStyle w:val="Heading1"/>
      </w:pPr>
      <w:r>
        <w:rPr>
          <w:rFonts w:ascii="Garamond" w:hAnsi="Garamond"/>
          <w:color w:val="9D2235"/>
          <w:sz w:val="32"/>
        </w:rPr>
        <w:t>Registre des preuves (archivage)</w:t>
      </w:r>
    </w:p>
    <w:tbl>
      <w:tblPr>
        <w:tblStyle w:val="TableGrid"/>
        <w:tblW w:type="auto" w:w="0"/>
        <w:tblLook w:firstColumn="1" w:firstRow="1" w:lastColumn="0" w:lastRow="0" w:noHBand="0" w:noVBand="1" w:val="04A0"/>
      </w:tblPr>
      <w:tblGrid>
        <w:gridCol w:w="1345"/>
        <w:gridCol w:w="1345"/>
        <w:gridCol w:w="1345"/>
        <w:gridCol w:w="1345"/>
        <w:gridCol w:w="1345"/>
        <w:gridCol w:w="1345"/>
        <w:gridCol w:w="1345"/>
      </w:tblGrid>
      <w:tr>
        <w:tc>
          <w:tcPr>
            <w:tcW w:type="dxa" w:w="1345"/>
            <w:shd w:val="clear" w:color="auto" w:fill="C59D5F"/>
          </w:tcPr>
          <w:p>
            <w:r>
              <w:rPr>
                <w:rFonts w:ascii="Cambria" w:hAnsi="Cambria"/>
                <w:b/>
                <w:i w:val="0"/>
                <w:color w:val="000000"/>
                <w:sz w:val="20"/>
              </w:rPr>
              <w:t>Preuve</w:t>
            </w:r>
          </w:p>
        </w:tc>
        <w:tc>
          <w:tcPr>
            <w:tcW w:type="dxa" w:w="1345"/>
            <w:shd w:val="clear" w:color="auto" w:fill="C59D5F"/>
          </w:tcPr>
          <w:p>
            <w:r>
              <w:rPr>
                <w:rFonts w:ascii="Cambria" w:hAnsi="Cambria"/>
                <w:b/>
                <w:i w:val="0"/>
                <w:color w:val="000000"/>
                <w:sz w:val="20"/>
              </w:rPr>
              <w:t>Référence interne</w:t>
            </w:r>
          </w:p>
        </w:tc>
        <w:tc>
          <w:tcPr>
            <w:tcW w:type="dxa" w:w="1345"/>
            <w:shd w:val="clear" w:color="auto" w:fill="C59D5F"/>
          </w:tcPr>
          <w:p>
            <w:r>
              <w:rPr>
                <w:rFonts w:ascii="Cambria" w:hAnsi="Cambria"/>
                <w:b/>
                <w:i w:val="0"/>
                <w:color w:val="000000"/>
                <w:sz w:val="20"/>
              </w:rPr>
              <w:t>Lien interne / Chemin</w:t>
            </w:r>
          </w:p>
        </w:tc>
        <w:tc>
          <w:tcPr>
            <w:tcW w:type="dxa" w:w="1345"/>
            <w:shd w:val="clear" w:color="auto" w:fill="C59D5F"/>
          </w:tcPr>
          <w:p>
            <w:r>
              <w:rPr>
                <w:rFonts w:ascii="Cambria" w:hAnsi="Cambria"/>
                <w:b/>
                <w:i w:val="0"/>
                <w:color w:val="000000"/>
                <w:sz w:val="20"/>
              </w:rPr>
              <w:t>Période</w:t>
            </w:r>
          </w:p>
        </w:tc>
        <w:tc>
          <w:tcPr>
            <w:tcW w:type="dxa" w:w="1345"/>
            <w:shd w:val="clear" w:color="auto" w:fill="C59D5F"/>
          </w:tcPr>
          <w:p>
            <w:r>
              <w:rPr>
                <w:rFonts w:ascii="Cambria" w:hAnsi="Cambria"/>
                <w:b/>
                <w:i w:val="0"/>
                <w:color w:val="000000"/>
                <w:sz w:val="20"/>
              </w:rPr>
              <w:t>Sensibilité</w:t>
            </w:r>
          </w:p>
        </w:tc>
        <w:tc>
          <w:tcPr>
            <w:tcW w:type="dxa" w:w="1345"/>
            <w:shd w:val="clear" w:color="auto" w:fill="C59D5F"/>
          </w:tcPr>
          <w:p>
            <w:r>
              <w:rPr>
                <w:rFonts w:ascii="Cambria" w:hAnsi="Cambria"/>
                <w:b/>
                <w:i w:val="0"/>
                <w:color w:val="000000"/>
                <w:sz w:val="20"/>
              </w:rPr>
              <w:t>Localisation d’archive</w:t>
            </w:r>
          </w:p>
        </w:tc>
        <w:tc>
          <w:tcPr>
            <w:tcW w:type="dxa" w:w="1345"/>
            <w:shd w:val="clear" w:color="auto" w:fill="C59D5F"/>
          </w:tcPr>
          <w:p>
            <w:r>
              <w:rPr>
                <w:rFonts w:ascii="Cambria" w:hAnsi="Cambria"/>
                <w:b/>
                <w:i w:val="0"/>
                <w:color w:val="000000"/>
                <w:sz w:val="20"/>
              </w:rPr>
              <w:t>Conservation (durée)</w:t>
            </w:r>
          </w:p>
        </w:tc>
      </w:tr>
      <w:tr>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r>
      <w:tr>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r>
      <w:tr>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c>
          <w:tcPr>
            <w:tcW w:type="dxa" w:w="1345"/>
          </w:tcPr>
          <w:p>
            <w:r>
              <w:rPr>
                <w:rFonts w:ascii="Cambria" w:hAnsi="Cambria"/>
                <w:b w:val="0"/>
                <w:i w:val="0"/>
                <w:color w:val="333333"/>
                <w:sz w:val="20"/>
              </w:rPr>
              <w:t>[À renseigner]</w:t>
            </w:r>
          </w:p>
        </w:tc>
      </w:tr>
    </w:tbl>
    <w:tbl>
      <w:tblPr>
        <w:tblStyle w:val="TableGrid"/>
        <w:tblW w:type="auto" w:w="0"/>
        <w:tblLook w:firstColumn="1" w:firstRow="1" w:lastColumn="0" w:lastRow="0" w:noHBand="0" w:noVBand="1" w:val="04A0"/>
      </w:tblPr>
      <w:tblGrid>
        <w:gridCol w:w="9412"/>
      </w:tblGrid>
      <w:tr>
        <w:tc>
          <w:tcPr>
            <w:tcW w:type="dxa" w:w="9412"/>
            <w:shd w:val="clear" w:color="auto" w:fill="F7F5EE"/>
          </w:tcPr>
          <w:p>
            <w:r>
              <w:rPr>
                <w:rFonts w:ascii="Cambria" w:hAnsi="Cambria"/>
                <w:b w:val="0"/>
                <w:i w:val="0"/>
                <w:color w:val="333333"/>
                <w:sz w:val="20"/>
              </w:rPr>
              <w:t>Conseil de style — Courtoisie opératoire : phrase nette, chiffre exact, respect des formes, narration orientée effets. Versionnez les données sensibles (intégrale interne / diffusion publique) et terminez par trois chantiers prioritaires, cinq jalons datés.</w:t>
            </w:r>
          </w:p>
        </w:tc>
      </w:tr>
    </w:tbl>
    <w:p>
      <w:pPr>
        <w:pStyle w:val="Heading1"/>
      </w:pPr>
      <w:r>
        <w:rPr>
          <w:rFonts w:ascii="Garamond" w:hAnsi="Garamond"/>
          <w:color w:val="9D2235"/>
          <w:sz w:val="32"/>
        </w:rPr>
        <w:t>Annexes normalisées</w:t>
      </w:r>
    </w:p>
    <w:p>
      <w:r>
        <w:t>A. Tableau des indicateurs — B. Synthèse télégrammes — C. Registre crises (anonymisé) — D. Inventaire partenariats — E. Calendrier protocolaire.</w:t>
      </w:r>
    </w:p>
    <w:sectPr w:rsidR="00FC693F" w:rsidRPr="0006063C" w:rsidSect="00034616">
      <w:headerReference w:type="default" r:id="rId9"/>
      <w:footerReference w:type="default" r:id="rId10"/>
      <w:pgSz w:w="11906" w:h="16838"/>
      <w:pgMar w:top="1020" w:right="1247" w:bottom="1020" w:left="124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p>
  <w:p>
    <w:pPr>
      <w:jc w:val="right"/>
    </w:pPr>
    <w:r>
      <w:rPr>
        <w:rFonts w:ascii="Cambria" w:hAnsi="Cambria"/>
        <w:b w:val="0"/>
        <w:i w:val="0"/>
        <w:color w:val="333333"/>
        <w:sz w:val="18"/>
      </w:rPr>
      <w:t xml:space="preserve">Page </w:t>
    </w:r>
    <w:r>
      <w:fldChar w:fldCharType="begin"/>
    </w:r>
    <w:r>
      <w:instrText xml:space="preserve">PAGE</w:instrText>
    </w:r>
    <w:r>
      <w:fldChar w:fldCharType="end"/>
    </w:r>
    <w:r>
      <w:rPr>
        <w:rFonts w:ascii="Cambria" w:hAnsi="Cambria"/>
        <w:b w:val="0"/>
        <w:i w:val="0"/>
        <w:color w:val="333333"/>
        <w:sz w:val="18"/>
      </w:rPr>
      <w:t xml:space="preserve">  •  Diffusion : [Interne / Restreinte / Publique]</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tblLook w:firstColumn="1" w:firstRow="1" w:lastColumn="0" w:lastRow="0" w:noHBand="0" w:noVBand="1" w:val="04A0"/>
    </w:tblPr>
    <w:tblGrid>
      <w:gridCol w:w="9071"/>
    </w:tblGrid>
    <w:tr>
      <w:tc>
        <w:tcPr>
          <w:tcW w:type="dxa" w:w="9071"/>
          <w:shd w:val="clear" w:color="auto" w:fill="9D2235"/>
        </w:tcPr>
        <w:p/>
      </w:tc>
    </w:tr>
  </w:tbl>
  <w:tbl>
    <w:tblPr>
      <w:tblW w:type="auto" w:w="0"/>
      <w:tblLook w:firstColumn="1" w:firstRow="1" w:lastColumn="0" w:lastRow="0" w:noHBand="0" w:noVBand="1" w:val="04A0"/>
    </w:tblPr>
    <w:tblGrid>
      <w:gridCol w:w="6803"/>
    </w:tblGrid>
    <w:tr>
      <w:tc>
        <w:tcPr>
          <w:tcW w:type="dxa" w:w="6803"/>
          <w:shd w:val="clear" w:color="auto" w:fill="C59D5F"/>
        </w:tcPr>
        <w:p/>
      </w:tc>
    </w:tr>
  </w:tbl>
  <w:p>
    <w:r>
      <w:rPr>
        <w:rFonts w:ascii="Garamond" w:hAnsi="Garamond"/>
        <w:b/>
        <w:i w:val="0"/>
        <w:color w:val="0F1D40"/>
        <w:sz w:val="20"/>
      </w:rPr>
      <w:t>thekingdomofdecrees.com — Modèle de rapport d’activité (Ambassade/Consulat)</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