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Garamond" w:hAnsi="Garamond"/>
          <w:b/>
          <w:i w:val="0"/>
          <w:color w:val="9D2235"/>
          <w:sz w:val="48"/>
        </w:rPr>
        <w:t>Rapport d’activité — Modèle opérationnel (pratique)</w:t>
      </w:r>
    </w:p>
    <w:p>
      <w:pPr>
        <w:pStyle w:val="Heading1"/>
      </w:pPr>
      <w:r>
        <w:rPr>
          <w:rFonts w:ascii="Garamond" w:hAnsi="Garamond"/>
          <w:color w:val="9D2235"/>
          <w:sz w:val="32"/>
        </w:rPr>
        <w:t>Fiche d’identité du poste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606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Poste</w:t>
            </w:r>
          </w:p>
        </w:tc>
        <w:tc>
          <w:tcPr>
            <w:tcW w:type="dxa" w:w="1606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Période</w:t>
            </w:r>
          </w:p>
        </w:tc>
        <w:tc>
          <w:tcPr>
            <w:tcW w:type="dxa" w:w="1606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Chef de poste</w:t>
            </w:r>
          </w:p>
        </w:tc>
        <w:tc>
          <w:tcPr>
            <w:tcW w:type="dxa" w:w="1606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Adjoint/Chancellerie</w:t>
            </w:r>
          </w:p>
        </w:tc>
        <w:tc>
          <w:tcPr>
            <w:tcW w:type="dxa" w:w="1606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Point de contact</w:t>
            </w:r>
          </w:p>
        </w:tc>
        <w:tc>
          <w:tcPr>
            <w:tcW w:type="dxa" w:w="1606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Degré de diffusion</w:t>
            </w:r>
          </w:p>
        </w:tc>
      </w:tr>
      <w:tr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</w:tbl>
    <w:p>
      <w:pPr>
        <w:pStyle w:val="Heading1"/>
      </w:pPr>
      <w:r>
        <w:rPr>
          <w:rFonts w:ascii="Garamond" w:hAnsi="Garamond"/>
          <w:color w:val="9D2235"/>
          <w:sz w:val="32"/>
        </w:rPr>
        <w:t>Tableau de bord — Indicateurs nommés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>
        <w:tc>
          <w:tcPr>
            <w:tcW w:type="dxa" w:w="964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ID (ex. IND-CO-01)</w:t>
            </w:r>
          </w:p>
        </w:tc>
        <w:tc>
          <w:tcPr>
            <w:tcW w:type="dxa" w:w="964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Nom de l’indicateur</w:t>
            </w:r>
          </w:p>
        </w:tc>
        <w:tc>
          <w:tcPr>
            <w:tcW w:type="dxa" w:w="964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Objectif (Outcome)</w:t>
            </w:r>
          </w:p>
        </w:tc>
        <w:tc>
          <w:tcPr>
            <w:tcW w:type="dxa" w:w="964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Formule</w:t>
            </w:r>
          </w:p>
        </w:tc>
        <w:tc>
          <w:tcPr>
            <w:tcW w:type="dxa" w:w="964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Source</w:t>
            </w:r>
          </w:p>
        </w:tc>
        <w:tc>
          <w:tcPr>
            <w:tcW w:type="dxa" w:w="964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Fréquence</w:t>
            </w:r>
          </w:p>
        </w:tc>
        <w:tc>
          <w:tcPr>
            <w:tcW w:type="dxa" w:w="964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Cible</w:t>
            </w:r>
          </w:p>
        </w:tc>
        <w:tc>
          <w:tcPr>
            <w:tcW w:type="dxa" w:w="964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Seuil d’alerte</w:t>
            </w:r>
          </w:p>
        </w:tc>
        <w:tc>
          <w:tcPr>
            <w:tcW w:type="dxa" w:w="964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Responsable</w:t>
            </w:r>
          </w:p>
        </w:tc>
        <w:tc>
          <w:tcPr>
            <w:tcW w:type="dxa" w:w="964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Commentaire</w:t>
            </w:r>
          </w:p>
        </w:tc>
      </w:tr>
      <w:tr>
        <w:tc>
          <w:tcPr>
            <w:tcW w:type="dxa" w:w="964"/>
          </w:tcPr>
          <w:p>
            <w:r>
              <w:t>IND-CO-01</w:t>
            </w:r>
          </w:p>
        </w:tc>
        <w:tc>
          <w:tcPr>
            <w:tcW w:type="dxa" w:w="964"/>
          </w:tcPr>
          <w:p>
            <w:r>
              <w:t>Dossiers d’assistance ≤72h (%)</w:t>
            </w:r>
          </w:p>
        </w:tc>
        <w:tc>
          <w:tcPr>
            <w:tcW w:type="dxa" w:w="964"/>
          </w:tcPr>
          <w:p>
            <w:r>
              <w:t>Protéger plus vite les ressortissants</w:t>
            </w:r>
          </w:p>
        </w:tc>
        <w:tc>
          <w:tcPr>
            <w:tcW w:type="dxa" w:w="964"/>
          </w:tcPr>
          <w:p>
            <w:r>
              <w:t>100 × dossiers ≤72h / dossiers totaux</w:t>
            </w:r>
          </w:p>
        </w:tc>
        <w:tc>
          <w:tcPr>
            <w:tcW w:type="dxa" w:w="964"/>
          </w:tcPr>
          <w:p>
            <w:r>
              <w:t>Registre assistance</w:t>
            </w:r>
          </w:p>
        </w:tc>
        <w:tc>
          <w:tcPr>
            <w:tcW w:type="dxa" w:w="964"/>
          </w:tcPr>
          <w:p>
            <w:r>
              <w:t>Hebdo</w:t>
            </w:r>
          </w:p>
        </w:tc>
        <w:tc>
          <w:tcPr>
            <w:tcW w:type="dxa" w:w="964"/>
          </w:tcPr>
          <w:p>
            <w:r>
              <w:t>≥ 90 %</w:t>
            </w:r>
          </w:p>
        </w:tc>
        <w:tc>
          <w:tcPr>
            <w:tcW w:type="dxa" w:w="964"/>
          </w:tcPr>
          <w:p>
            <w:r>
              <w:t>85 %</w:t>
            </w:r>
          </w:p>
        </w:tc>
        <w:tc>
          <w:tcPr>
            <w:tcW w:type="dxa" w:w="964"/>
          </w:tcPr>
          <w:p>
            <w:r>
              <w:t>Référent consulaire</w:t>
            </w:r>
          </w:p>
        </w:tc>
        <w:tc>
          <w:tcPr>
            <w:tcW w:type="dxa" w:w="964"/>
          </w:tcPr>
          <w:p>
            <w:r>
              <w:t>Inclure cas vulnérables</w:t>
            </w:r>
          </w:p>
        </w:tc>
      </w:tr>
      <w:tr>
        <w:tc>
          <w:tcPr>
            <w:tcW w:type="dxa" w:w="964"/>
          </w:tcPr>
          <w:p>
            <w:r>
              <w:t>IND-EC-02</w:t>
            </w:r>
          </w:p>
        </w:tc>
        <w:tc>
          <w:tcPr>
            <w:tcW w:type="dxa" w:w="964"/>
          </w:tcPr>
          <w:p>
            <w:r>
              <w:t>Taux conversion leads→contrats (%)</w:t>
            </w:r>
          </w:p>
        </w:tc>
        <w:tc>
          <w:tcPr>
            <w:tcW w:type="dxa" w:w="964"/>
          </w:tcPr>
          <w:p>
            <w:r>
              <w:t>Accroître les opportunités qualifiées</w:t>
            </w:r>
          </w:p>
        </w:tc>
        <w:tc>
          <w:tcPr>
            <w:tcW w:type="dxa" w:w="964"/>
          </w:tcPr>
          <w:p>
            <w:r>
              <w:t>100 × contrats signés / leads qualifiés</w:t>
            </w:r>
          </w:p>
        </w:tc>
        <w:tc>
          <w:tcPr>
            <w:tcW w:type="dxa" w:w="964"/>
          </w:tcPr>
          <w:p>
            <w:r>
              <w:t>CRM export</w:t>
            </w:r>
          </w:p>
        </w:tc>
        <w:tc>
          <w:tcPr>
            <w:tcW w:type="dxa" w:w="964"/>
          </w:tcPr>
          <w:p>
            <w:r>
              <w:t>Mensuel</w:t>
            </w:r>
          </w:p>
        </w:tc>
        <w:tc>
          <w:tcPr>
            <w:tcW w:type="dxa" w:w="964"/>
          </w:tcPr>
          <w:p>
            <w:r>
              <w:t>≥ 25 %</w:t>
            </w:r>
          </w:p>
        </w:tc>
        <w:tc>
          <w:tcPr>
            <w:tcW w:type="dxa" w:w="964"/>
          </w:tcPr>
          <w:p>
            <w:r>
              <w:t>15 %</w:t>
            </w:r>
          </w:p>
        </w:tc>
        <w:tc>
          <w:tcPr>
            <w:tcW w:type="dxa" w:w="964"/>
          </w:tcPr>
          <w:p>
            <w:r>
              <w:t>Attaché éco</w:t>
            </w:r>
          </w:p>
        </w:tc>
        <w:tc>
          <w:tcPr>
            <w:tcW w:type="dxa" w:w="964"/>
          </w:tcPr>
          <w:p>
            <w:r>
              <w:t>Suivre par secteur</w:t>
            </w:r>
          </w:p>
        </w:tc>
      </w:tr>
      <w:tr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964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</w:tbl>
    <w:p>
      <w:pPr>
        <w:pStyle w:val="Heading1"/>
      </w:pPr>
      <w:r>
        <w:rPr>
          <w:rFonts w:ascii="Garamond" w:hAnsi="Garamond"/>
          <w:color w:val="9D2235"/>
          <w:sz w:val="32"/>
        </w:rPr>
        <w:t>Cascade d’objectifs (stratégique → opérationnel → tactique)</w:t>
      </w:r>
    </w:p>
    <w:p>
      <w:r>
        <w:rPr>
          <w:rFonts w:ascii="Garamond" w:hAnsi="Garamond"/>
          <w:b/>
          <w:i w:val="0"/>
          <w:color w:val="9D2235"/>
          <w:sz w:val="24"/>
        </w:rPr>
        <w:t>Chaîne d’alignement des objectifs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0F1D40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Niveau stratégique</w:t>
            </w:r>
          </w:p>
        </w:tc>
        <w:tc>
          <w:tcPr>
            <w:tcW w:type="dxa" w:w="3213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Objectifs liés  •  [À renseigner]</w:t>
            </w:r>
          </w:p>
        </w:tc>
        <w:tc>
          <w:tcPr>
            <w:tcW w:type="dxa" w:w="3213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Indicateurs associés  •  [À renseigner]</w:t>
            </w:r>
          </w:p>
        </w:tc>
      </w:tr>
      <w:tr>
        <w:tc>
          <w:tcPr>
            <w:tcW w:type="dxa" w:w="3213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Niveau opérationnel</w:t>
            </w:r>
          </w:p>
        </w:tc>
        <w:tc>
          <w:tcPr>
            <w:tcW w:type="dxa" w:w="3213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Objectifs liés  •  [À renseigner]</w:t>
            </w:r>
          </w:p>
        </w:tc>
        <w:tc>
          <w:tcPr>
            <w:tcW w:type="dxa" w:w="3213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Indicateurs associés  •  [À renseigner]</w:t>
            </w:r>
          </w:p>
        </w:tc>
      </w:tr>
      <w:tr>
        <w:tc>
          <w:tcPr>
            <w:tcW w:type="dxa" w:w="3213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Niveau tactique</w:t>
            </w:r>
          </w:p>
        </w:tc>
        <w:tc>
          <w:tcPr>
            <w:tcW w:type="dxa" w:w="3213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Objectifs liés  •  [À renseigner]</w:t>
            </w:r>
          </w:p>
        </w:tc>
        <w:tc>
          <w:tcPr>
            <w:tcW w:type="dxa" w:w="3213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Indicateurs associés  •  [À renseigner]</w:t>
            </w:r>
          </w:p>
        </w:tc>
      </w:tr>
    </w:tbl>
    <w:p>
      <w:pPr>
        <w:pStyle w:val="Heading1"/>
      </w:pPr>
      <w:r>
        <w:rPr>
          <w:rFonts w:ascii="Garamond" w:hAnsi="Garamond"/>
          <w:color w:val="9D2235"/>
          <w:sz w:val="32"/>
        </w:rPr>
        <w:t>Processus — Chaîne consulaire</w:t>
      </w:r>
    </w:p>
    <w:p>
      <w:r>
        <w:rPr>
          <w:rFonts w:ascii="Garamond" w:hAnsi="Garamond"/>
          <w:b/>
          <w:i w:val="0"/>
          <w:color w:val="9D2235"/>
          <w:sz w:val="24"/>
        </w:rPr>
        <w:t>Flux consulaire (cas standard)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1"/>
        <w:gridCol w:w="1071"/>
        <w:gridCol w:w="1071"/>
        <w:gridCol w:w="1071"/>
        <w:gridCol w:w="1071"/>
        <w:gridCol w:w="1071"/>
        <w:gridCol w:w="1071"/>
        <w:gridCol w:w="1071"/>
        <w:gridCol w:w="1071"/>
      </w:tblGrid>
      <w:tr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Signalement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Qualification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Intervention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Suivi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Clôture</w:t>
            </w:r>
          </w:p>
        </w:tc>
      </w:tr>
    </w:tbl>
    <w:p>
      <w:pPr>
        <w:pStyle w:val="Heading1"/>
      </w:pPr>
      <w:r>
        <w:rPr>
          <w:rFonts w:ascii="Garamond" w:hAnsi="Garamond"/>
          <w:color w:val="9D2235"/>
          <w:sz w:val="32"/>
        </w:rPr>
        <w:t>Processus — Pipeline diplomatie économique</w:t>
      </w:r>
    </w:p>
    <w:p>
      <w:r>
        <w:rPr>
          <w:rFonts w:ascii="Garamond" w:hAnsi="Garamond"/>
          <w:b/>
          <w:i w:val="0"/>
          <w:color w:val="9D2235"/>
          <w:sz w:val="24"/>
        </w:rPr>
        <w:t>Du repérage au contrat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1"/>
        <w:gridCol w:w="1071"/>
        <w:gridCol w:w="1071"/>
        <w:gridCol w:w="1071"/>
        <w:gridCol w:w="1071"/>
        <w:gridCol w:w="1071"/>
        <w:gridCol w:w="1071"/>
        <w:gridCol w:w="1071"/>
        <w:gridCol w:w="1071"/>
      </w:tblGrid>
      <w:tr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Repérage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Qualification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Mise en relation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Négociation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Contrat</w:t>
            </w:r>
          </w:p>
        </w:tc>
      </w:tr>
    </w:tbl>
    <w:p>
      <w:pPr>
        <w:pStyle w:val="Heading1"/>
      </w:pPr>
      <w:r>
        <w:rPr>
          <w:rFonts w:ascii="Garamond" w:hAnsi="Garamond"/>
          <w:color w:val="9D2235"/>
          <w:sz w:val="32"/>
        </w:rPr>
        <w:t>Processus — Communication &amp; influence</w:t>
      </w:r>
    </w:p>
    <w:p>
      <w:r>
        <w:rPr>
          <w:rFonts w:ascii="Garamond" w:hAnsi="Garamond"/>
          <w:b/>
          <w:i w:val="0"/>
          <w:color w:val="9D2235"/>
          <w:sz w:val="24"/>
        </w:rPr>
        <w:t>Cycle éditorial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1"/>
        <w:gridCol w:w="1071"/>
        <w:gridCol w:w="1071"/>
        <w:gridCol w:w="1071"/>
        <w:gridCol w:w="1071"/>
        <w:gridCol w:w="1071"/>
        <w:gridCol w:w="1071"/>
        <w:gridCol w:w="1071"/>
        <w:gridCol w:w="1071"/>
      </w:tblGrid>
      <w:tr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Intention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Message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Canal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Diffusion</w:t>
            </w:r>
          </w:p>
        </w:tc>
        <w:tc>
          <w:tcPr>
            <w:tcW w:type="dxa" w:w="1071"/>
          </w:tcPr>
          <w:p>
            <w:r>
              <w:t>➔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Mesure</w:t>
            </w:r>
          </w:p>
        </w:tc>
      </w:tr>
    </w:tbl>
    <w:p>
      <w:pPr>
        <w:pStyle w:val="Heading1"/>
      </w:pPr>
      <w:r>
        <w:rPr>
          <w:rFonts w:ascii="Garamond" w:hAnsi="Garamond"/>
          <w:color w:val="9D2235"/>
          <w:sz w:val="32"/>
        </w:rPr>
        <w:t>Swimlane — Phases x Missions</w:t>
      </w:r>
    </w:p>
    <w:p>
      <w:r>
        <w:rPr>
          <w:rFonts w:ascii="Garamond" w:hAnsi="Garamond"/>
          <w:b/>
          <w:i w:val="0"/>
          <w:color w:val="9D2235"/>
          <w:sz w:val="24"/>
        </w:rPr>
        <w:t>Planification → Exécution → Bilan (missions en colonnes)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606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Phase / Mission</w:t>
            </w:r>
          </w:p>
        </w:tc>
        <w:tc>
          <w:tcPr>
            <w:tcW w:type="dxa" w:w="1606"/>
            <w:shd w:val="clear" w:color="auto" w:fill="0F1D40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Consulaire</w:t>
            </w:r>
          </w:p>
        </w:tc>
        <w:tc>
          <w:tcPr>
            <w:tcW w:type="dxa" w:w="1606"/>
            <w:shd w:val="clear" w:color="auto" w:fill="0F1D40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Économique</w:t>
            </w:r>
          </w:p>
        </w:tc>
        <w:tc>
          <w:tcPr>
            <w:tcW w:type="dxa" w:w="1606"/>
            <w:shd w:val="clear" w:color="auto" w:fill="0F1D40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Culture/Édu</w:t>
            </w:r>
          </w:p>
        </w:tc>
        <w:tc>
          <w:tcPr>
            <w:tcW w:type="dxa" w:w="1606"/>
            <w:shd w:val="clear" w:color="auto" w:fill="0F1D40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Com/Influence</w:t>
            </w:r>
          </w:p>
        </w:tc>
        <w:tc>
          <w:tcPr>
            <w:tcW w:type="dxa" w:w="1606"/>
            <w:shd w:val="clear" w:color="auto" w:fill="0F1D40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Sécurité</w:t>
            </w:r>
          </w:p>
        </w:tc>
      </w:tr>
      <w:tr>
        <w:tc>
          <w:tcPr>
            <w:tcW w:type="dxa" w:w="1606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Planification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</w:tr>
      <w:tr>
        <w:tc>
          <w:tcPr>
            <w:tcW w:type="dxa" w:w="1606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Exécution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</w:tr>
      <w:tr>
        <w:tc>
          <w:tcPr>
            <w:tcW w:type="dxa" w:w="1606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Bilan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  <w:tc>
          <w:tcPr>
            <w:tcW w:type="dxa" w:w="1606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☐ Étape  •  ➜  [Action]  •  ⏱ [Délai]</w:t>
            </w:r>
          </w:p>
        </w:tc>
      </w:tr>
    </w:tbl>
    <w:p>
      <w:pPr>
        <w:pStyle w:val="Heading1"/>
      </w:pPr>
      <w:r>
        <w:rPr>
          <w:rFonts w:ascii="Garamond" w:hAnsi="Garamond"/>
          <w:color w:val="9D2235"/>
          <w:sz w:val="32"/>
        </w:rPr>
        <w:t>Plan d’action — 12 mois (Gantt simplifié)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</w:tblGrid>
      <w:tr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Action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Jan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Fév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Mar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Avr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Mai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Juin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Juil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Août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Sep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Oct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Nov</w:t>
            </w:r>
          </w:p>
        </w:tc>
        <w:tc>
          <w:tcPr>
            <w:tcW w:type="dxa" w:w="74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Déc</w:t>
            </w:r>
          </w:p>
        </w:tc>
      </w:tr>
      <w:tr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t>█</w:t>
            </w:r>
          </w:p>
        </w:tc>
        <w:tc>
          <w:tcPr>
            <w:tcW w:type="dxa" w:w="741"/>
          </w:tcPr>
          <w:p>
            <w:r>
              <w:t>█</w:t>
            </w:r>
          </w:p>
        </w:tc>
        <w:tc>
          <w:tcPr>
            <w:tcW w:type="dxa" w:w="741"/>
          </w:tcPr>
          <w:p>
            <w:r>
              <w:t>█</w:t>
            </w:r>
          </w:p>
        </w:tc>
        <w:tc>
          <w:tcPr>
            <w:tcW w:type="dxa" w:w="741"/>
          </w:tcPr>
          <w:p>
            <w:r>
              <w:t>█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t>██</w:t>
            </w:r>
          </w:p>
        </w:tc>
        <w:tc>
          <w:tcPr>
            <w:tcW w:type="dxa" w:w="741"/>
          </w:tcPr>
          <w:p>
            <w:r>
              <w:t>██</w:t>
            </w:r>
          </w:p>
        </w:tc>
        <w:tc>
          <w:tcPr>
            <w:tcW w:type="dxa" w:w="741"/>
          </w:tcPr>
          <w:p>
            <w:r>
              <w:t>██</w:t>
            </w:r>
          </w:p>
        </w:tc>
        <w:tc>
          <w:tcPr>
            <w:tcW w:type="dxa" w:w="741"/>
          </w:tcPr>
          <w:p>
            <w:r>
              <w:t>██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t>███</w:t>
            </w:r>
          </w:p>
        </w:tc>
        <w:tc>
          <w:tcPr>
            <w:tcW w:type="dxa" w:w="741"/>
          </w:tcPr>
          <w:p>
            <w:r>
              <w:t>███</w:t>
            </w:r>
          </w:p>
        </w:tc>
        <w:tc>
          <w:tcPr>
            <w:tcW w:type="dxa" w:w="741"/>
          </w:tcPr>
          <w:p>
            <w:r>
              <w:t>███</w:t>
            </w:r>
          </w:p>
        </w:tc>
        <w:tc>
          <w:tcPr>
            <w:tcW w:type="dxa" w:w="741"/>
          </w:tcPr>
          <w:p>
            <w:r>
              <w:t>███</w:t>
            </w:r>
          </w:p>
        </w:tc>
      </w:tr>
      <w:tr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74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</w:tbl>
    <w:p>
      <w:pPr>
        <w:pStyle w:val="Heading1"/>
      </w:pPr>
      <w:r>
        <w:rPr>
          <w:rFonts w:ascii="Garamond" w:hAnsi="Garamond"/>
          <w:color w:val="9D2235"/>
          <w:sz w:val="32"/>
        </w:rPr>
        <w:t>Registre des risques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1"/>
        <w:gridCol w:w="1071"/>
        <w:gridCol w:w="1071"/>
        <w:gridCol w:w="1071"/>
        <w:gridCol w:w="1071"/>
        <w:gridCol w:w="1071"/>
        <w:gridCol w:w="1071"/>
        <w:gridCol w:w="1071"/>
        <w:gridCol w:w="1071"/>
      </w:tblGrid>
      <w:tr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Risque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Probabilité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Impact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Niveau (PxI)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Mesures en place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Plan d’atténuation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Propriétaire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Échéance</w:t>
            </w:r>
          </w:p>
        </w:tc>
        <w:tc>
          <w:tcPr>
            <w:tcW w:type="dxa" w:w="1071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Statut</w:t>
            </w:r>
          </w:p>
        </w:tc>
      </w:tr>
      <w:tr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071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</w:tbl>
    <w:p>
      <w:pPr>
        <w:pStyle w:val="Heading1"/>
      </w:pPr>
      <w:r>
        <w:rPr>
          <w:rFonts w:ascii="Garamond" w:hAnsi="Garamond"/>
          <w:color w:val="9D2235"/>
          <w:sz w:val="32"/>
        </w:rPr>
        <w:t>Journal des preuves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05"/>
        <w:gridCol w:w="1205"/>
        <w:gridCol w:w="1205"/>
        <w:gridCol w:w="1205"/>
        <w:gridCol w:w="1205"/>
        <w:gridCol w:w="1205"/>
        <w:gridCol w:w="1205"/>
        <w:gridCol w:w="1205"/>
      </w:tblGrid>
      <w:tr>
        <w:tc>
          <w:tcPr>
            <w:tcW w:type="dxa" w:w="1205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Preuve</w:t>
            </w:r>
          </w:p>
        </w:tc>
        <w:tc>
          <w:tcPr>
            <w:tcW w:type="dxa" w:w="1205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Référence interne</w:t>
            </w:r>
          </w:p>
        </w:tc>
        <w:tc>
          <w:tcPr>
            <w:tcW w:type="dxa" w:w="1205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Chemin interne</w:t>
            </w:r>
          </w:p>
        </w:tc>
        <w:tc>
          <w:tcPr>
            <w:tcW w:type="dxa" w:w="1205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Période</w:t>
            </w:r>
          </w:p>
        </w:tc>
        <w:tc>
          <w:tcPr>
            <w:tcW w:type="dxa" w:w="1205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Sensibilité</w:t>
            </w:r>
          </w:p>
        </w:tc>
        <w:tc>
          <w:tcPr>
            <w:tcW w:type="dxa" w:w="1205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Localisation</w:t>
            </w:r>
          </w:p>
        </w:tc>
        <w:tc>
          <w:tcPr>
            <w:tcW w:type="dxa" w:w="1205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Durée de conservation</w:t>
            </w:r>
          </w:p>
        </w:tc>
        <w:tc>
          <w:tcPr>
            <w:tcW w:type="dxa" w:w="1205"/>
            <w:shd w:val="clear" w:color="auto" w:fill="C59D5F"/>
          </w:tcPr>
          <w:p>
            <w:r>
              <w:rPr>
                <w:rFonts w:ascii="Cambria" w:hAnsi="Cambria"/>
                <w:b/>
                <w:i w:val="0"/>
                <w:color w:val="000000"/>
                <w:sz w:val="20"/>
              </w:rPr>
              <w:t>Observations</w:t>
            </w:r>
          </w:p>
        </w:tc>
      </w:tr>
      <w:tr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</w:tbl>
    <w:p>
      <w:pPr>
        <w:pStyle w:val="Heading1"/>
      </w:pPr>
      <w:r>
        <w:rPr>
          <w:rFonts w:ascii="Garamond" w:hAnsi="Garamond"/>
          <w:color w:val="9D2235"/>
          <w:sz w:val="32"/>
        </w:rPr>
        <w:t>Feuille protocolaire — événements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05"/>
        <w:gridCol w:w="1205"/>
        <w:gridCol w:w="1205"/>
        <w:gridCol w:w="1205"/>
        <w:gridCol w:w="1205"/>
        <w:gridCol w:w="1205"/>
        <w:gridCol w:w="1205"/>
        <w:gridCol w:w="1205"/>
      </w:tblGrid>
      <w:tr>
        <w:tc>
          <w:tcPr>
            <w:tcW w:type="dxa" w:w="1205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Date</w:t>
            </w:r>
          </w:p>
        </w:tc>
        <w:tc>
          <w:tcPr>
            <w:tcW w:type="dxa" w:w="1205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Événement</w:t>
            </w:r>
          </w:p>
        </w:tc>
        <w:tc>
          <w:tcPr>
            <w:tcW w:type="dxa" w:w="1205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Format</w:t>
            </w:r>
          </w:p>
        </w:tc>
        <w:tc>
          <w:tcPr>
            <w:tcW w:type="dxa" w:w="1205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Partenaires</w:t>
            </w:r>
          </w:p>
        </w:tc>
        <w:tc>
          <w:tcPr>
            <w:tcW w:type="dxa" w:w="1205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Objectif</w:t>
            </w:r>
          </w:p>
        </w:tc>
        <w:tc>
          <w:tcPr>
            <w:tcW w:type="dxa" w:w="1205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Éléments de langage</w:t>
            </w:r>
          </w:p>
        </w:tc>
        <w:tc>
          <w:tcPr>
            <w:tcW w:type="dxa" w:w="1205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Publics visés</w:t>
            </w:r>
          </w:p>
        </w:tc>
        <w:tc>
          <w:tcPr>
            <w:tcW w:type="dxa" w:w="1205"/>
            <w:shd w:val="clear" w:color="auto" w:fill="9D2235"/>
          </w:tcPr>
          <w:p>
            <w:r>
              <w:rPr>
                <w:rFonts w:ascii="Cambria" w:hAnsi="Cambria"/>
                <w:b/>
                <w:i w:val="0"/>
                <w:color w:val="FFFFFF"/>
                <w:sz w:val="20"/>
              </w:rPr>
              <w:t>Bilan</w:t>
            </w:r>
          </w:p>
        </w:tc>
      </w:tr>
      <w:tr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  <w:tr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  <w:tc>
          <w:tcPr>
            <w:tcW w:type="dxa" w:w="1205"/>
          </w:tcPr>
          <w:p>
            <w:r>
              <w:rPr>
                <w:rFonts w:ascii="Cambria" w:hAnsi="Cambria"/>
                <w:b w:val="0"/>
                <w:i w:val="0"/>
                <w:color w:val="333333"/>
                <w:sz w:val="20"/>
              </w:rPr>
              <w:t>[À renseigner]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p>
    <w:pPr>
      <w:jc w:val="right"/>
    </w:pPr>
    <w:r>
      <w:rPr>
        <w:rFonts w:ascii="Cambria" w:hAnsi="Cambria"/>
        <w:b w:val="0"/>
        <w:i w:val="0"/>
        <w:color w:val="333333"/>
        <w:sz w:val="18"/>
      </w:rPr>
      <w:t xml:space="preserve">Page </w:t>
    </w:r>
    <w:r>
      <w:fldChar w:fldCharType="begin"/>
    </w:r>
    <w:r>
      <w:instrText xml:space="preserve">PAGE</w:instrText>
    </w:r>
    <w:r>
      <w:fldChar w:fldCharType="end"/>
    </w:r>
    <w:r>
      <w:rPr>
        <w:rFonts w:ascii="Cambria" w:hAnsi="Cambria"/>
        <w:b w:val="0"/>
        <w:i w:val="0"/>
        <w:color w:val="333333"/>
        <w:sz w:val="18"/>
      </w:rPr>
      <w:t xml:space="preserve">  •  Diffusion : [Interne / Restreinte / Publique]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ook w:firstColumn="1" w:firstRow="1" w:lastColumn="0" w:lastRow="0" w:noHBand="0" w:noVBand="1" w:val="04A0"/>
    </w:tblPr>
    <w:tblGrid>
      <w:gridCol w:w="9071"/>
    </w:tblGrid>
    <w:tr>
      <w:tc>
        <w:tcPr>
          <w:tcW w:type="dxa" w:w="9071"/>
          <w:shd w:val="clear" w:color="auto" w:fill="9D2235"/>
        </w:tcPr>
        <w:p/>
      </w:tc>
    </w:tr>
  </w:tbl>
  <w:p>
    <w:r>
      <w:rPr>
        <w:rFonts w:ascii="Garamond" w:hAnsi="Garamond"/>
        <w:b/>
        <w:i w:val="0"/>
        <w:color w:val="0F1D40"/>
        <w:sz w:val="20"/>
      </w:rPr>
      <w:t>thekingdomofdecrees.com — Modèle opérationnel (sans chapeau)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