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Garamond" w:hAnsi="Garamond"/>
          <w:b/>
          <w:color w:val="0F3D2E"/>
          <w:sz w:val="40"/>
        </w:rPr>
        <w:t>PROJET SOCIAL – MODÈLE À REMPLIR</w:t>
      </w:r>
    </w:p>
    <w:p>
      <w:pPr>
        <w:jc w:val="center"/>
      </w:pPr>
      <w:r>
        <w:rPr>
          <w:rFonts w:ascii="Garamond" w:hAnsi="Garamond"/>
          <w:i/>
          <w:color w:val="C49A29"/>
          <w:sz w:val="24"/>
        </w:rPr>
        <w:t>Charte The Kingdom of Decrees – Version personnalisable</w:t>
      </w:r>
    </w:p>
    <w:p>
      <w:pPr>
        <w:jc w:val="center"/>
      </w:pPr>
      <w:r>
        <w:rPr>
          <w:color w:val="8C1C13"/>
          <w:sz w:val="20"/>
        </w:rPr>
        <w:t>━━━━━━━━━━━━━━━━━━━━━━━━━━━━━━━━━━━━━━━━━━━━</w:t>
      </w:r>
    </w:p>
    <w:p/>
    <w:p>
      <w:pPr>
        <w:jc w:val="left"/>
      </w:pPr>
      <w:r>
        <w:rPr>
          <w:rFonts w:ascii="Garamond" w:hAnsi="Garamond"/>
          <w:b/>
          <w:color w:val="0F3D2E"/>
          <w:sz w:val="26"/>
        </w:rPr>
        <w:t>Préambule – Esprit du projet</w:t>
      </w:r>
    </w:p>
    <w:p>
      <w:pPr>
        <w:jc w:val="left"/>
      </w:pPr>
      <w:r>
        <w:rPr>
          <w:color w:val="8C1C13"/>
          <w:sz w:val="28"/>
        </w:rPr>
        <w:t>▌</w:t>
      </w:r>
      <w:r/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9972"/>
      </w:tblGrid>
      <w:tr>
        <w:tc>
          <w:tcPr>
            <w:tcW w:type="dxa" w:w="9972"/>
            <w:shd w:fill="0F3D2E"/>
          </w:tcPr>
          <w:p>
            <w:r>
              <w:rPr>
                <w:b/>
                <w:color w:val="FFFFFF"/>
              </w:rPr>
              <w:t>À compléter par la structure porteuse</w:t>
            </w:r>
          </w:p>
        </w:tc>
      </w:tr>
      <w:tr>
        <w:tc>
          <w:tcPr>
            <w:tcW w:type="dxa" w:w="9972"/>
          </w:tcPr>
          <w:p>
            <w:r>
              <w:rPr>
                <w:sz w:val="20"/>
              </w:rPr>
              <w:t>Ce modèle accompagne la rédaction d’un projet social formalisé, structuré et lisible par les partenaires. Il peut être adapté à votre territoire, à vos priorités et à votre charte graphique interne.</w:t>
            </w:r>
          </w:p>
        </w:tc>
      </w:tr>
    </w:tbl>
    <w:p>
      <w:r>
        <w:t xml:space="preserve"> </w:t>
      </w:r>
    </w:p>
    <w:p>
      <w:pPr>
        <w:jc w:val="left"/>
      </w:pPr>
      <w:r>
        <w:rPr>
          <w:rFonts w:ascii="Garamond" w:hAnsi="Garamond"/>
          <w:b/>
          <w:color w:val="0F3D2E"/>
          <w:sz w:val="26"/>
        </w:rPr>
        <w:t>I – Identité du projet</w:t>
      </w:r>
    </w:p>
    <w:p>
      <w:pPr>
        <w:jc w:val="left"/>
      </w:pPr>
      <w:r>
        <w:rPr>
          <w:color w:val="8C1C13"/>
          <w:sz w:val="28"/>
        </w:rPr>
        <w:t>▌</w:t>
      </w:r>
      <w:r/>
    </w:p>
    <w:p>
      <w:pPr>
        <w:jc w:val="left"/>
      </w:pPr>
      <w:r>
        <w:rPr>
          <w:i/>
          <w:color w:val="333333"/>
          <w:sz w:val="20"/>
        </w:rPr>
        <w:t>Titre, porteur, coordonnées et ancrage institutionnel</w:t>
      </w:r>
    </w:p>
    <w:p>
      <w:r>
        <w:rPr>
          <w:b/>
        </w:rPr>
        <w:t xml:space="preserve">Titre du projet : </w:t>
      </w:r>
    </w:p>
    <w:p>
      <w:r>
        <w:t xml:space="preserve"> </w:t>
      </w:r>
    </w:p>
    <w:p>
      <w:r>
        <w:rPr>
          <w:b/>
        </w:rPr>
        <w:t xml:space="preserve">Structure porteuse : </w:t>
      </w:r>
    </w:p>
    <w:p>
      <w:r>
        <w:t xml:space="preserve"> </w:t>
      </w:r>
    </w:p>
    <w:p>
      <w:r>
        <w:rPr>
          <w:b/>
        </w:rPr>
        <w:t xml:space="preserve">Référent du projet et coordonnées complètes : </w:t>
      </w:r>
    </w:p>
    <w:p>
      <w:r>
        <w:t xml:space="preserve"> </w:t>
      </w:r>
    </w:p>
    <w:p>
      <w:pPr>
        <w:jc w:val="left"/>
      </w:pPr>
      <w:r>
        <w:rPr>
          <w:rFonts w:ascii="Garamond" w:hAnsi="Garamond"/>
          <w:b/>
          <w:color w:val="0F3D2E"/>
          <w:sz w:val="26"/>
        </w:rPr>
        <w:t>II – Territoire et publics concernés</w:t>
      </w:r>
    </w:p>
    <w:p>
      <w:pPr>
        <w:jc w:val="left"/>
      </w:pPr>
      <w:r>
        <w:rPr>
          <w:color w:val="8C1C13"/>
          <w:sz w:val="28"/>
        </w:rPr>
        <w:t>▌</w:t>
      </w:r>
      <w:r/>
    </w:p>
    <w:p>
      <w:pPr>
        <w:jc w:val="left"/>
      </w:pPr>
      <w:r>
        <w:rPr>
          <w:i/>
          <w:color w:val="333333"/>
          <w:sz w:val="20"/>
        </w:rPr>
        <w:t>Décrivez le territoire, les lieux de vie et les publics directement visés</w:t>
      </w:r>
    </w:p>
    <w:p>
      <w:r>
        <w:t>Territoire concerné (quartier, commune, intercommunalité, zonage particulier) :</w:t>
      </w:r>
    </w:p>
    <w:p>
      <w:r>
        <w:t xml:space="preserve"> </w:t>
      </w:r>
    </w:p>
    <w:p>
      <w:r>
        <w:t>Caractéristiques majeures du territoire (dynamique démographique, services, mobilités, etc.) :</w:t>
      </w:r>
    </w:p>
    <w:p>
      <w:r>
        <w:t xml:space="preserve"> </w:t>
      </w:r>
    </w:p>
    <w:p>
      <w:r>
        <w:t xml:space="preserve"> </w:t>
      </w:r>
    </w:p>
    <w:p>
      <w:r>
        <w:t>Publics principalement visés (jeunes, familles, personnes âgées, publics en situation de handicap, etc.) :</w:t>
      </w:r>
    </w:p>
    <w:p>
      <w:r>
        <w:t xml:space="preserve"> </w:t>
      </w:r>
    </w:p>
    <w:p>
      <w:r>
        <w:t xml:space="preserve"> </w:t>
      </w:r>
    </w:p>
    <w:p>
      <w:pPr>
        <w:jc w:val="left"/>
      </w:pPr>
      <w:r>
        <w:rPr>
          <w:rFonts w:ascii="Garamond" w:hAnsi="Garamond"/>
          <w:b/>
          <w:color w:val="0F3D2E"/>
          <w:sz w:val="26"/>
        </w:rPr>
        <w:t>III – Diagnostic partagé</w:t>
      </w:r>
    </w:p>
    <w:p>
      <w:pPr>
        <w:jc w:val="left"/>
      </w:pPr>
      <w:r>
        <w:rPr>
          <w:color w:val="8C1C13"/>
          <w:sz w:val="28"/>
        </w:rPr>
        <w:t>▌</w:t>
      </w:r>
      <w:r/>
    </w:p>
    <w:p>
      <w:pPr>
        <w:jc w:val="left"/>
      </w:pPr>
      <w:r>
        <w:rPr>
          <w:i/>
          <w:color w:val="333333"/>
          <w:sz w:val="20"/>
        </w:rPr>
        <w:t>Exposez les constats majeurs, les fragilités et les ressources, à partir d’éléments concrets</w:t>
      </w:r>
    </w:p>
    <w:p>
      <w:r>
        <w:t>Constats principaux (situations observées, besoins exprimés, signaux faibles) :</w:t>
      </w:r>
    </w:p>
    <w:p>
      <w:r>
        <w:t xml:space="preserve"> </w:t>
      </w:r>
    </w:p>
    <w:p>
      <w:r>
        <w:t xml:space="preserve"> </w:t>
      </w:r>
    </w:p>
    <w:p>
      <w:r>
        <w:t xml:space="preserve"> </w:t>
      </w:r>
    </w:p>
    <w:p>
      <w:r>
        <w:t>Ressources et dynamiques positives existantes (acteurs, dispositifs, initiatives locales) :</w:t>
      </w:r>
    </w:p>
    <w:p>
      <w:r>
        <w:t xml:space="preserve"> </w:t>
      </w:r>
    </w:p>
    <w:p>
      <w:r>
        <w:t xml:space="preserve"> </w:t>
      </w:r>
    </w:p>
    <w:p>
      <w:r>
        <w:t xml:space="preserve"> </w:t>
      </w:r>
    </w:p>
    <w:p>
      <w:r>
        <w:t>Enjeux prioritaires identifiés avec les partenaires et les habitants :</w:t>
      </w:r>
    </w:p>
    <w:p>
      <w:r>
        <w:t xml:space="preserve"> </w:t>
      </w:r>
    </w:p>
    <w:p>
      <w:r>
        <w:t xml:space="preserve"> </w:t>
      </w:r>
    </w:p>
    <w:p>
      <w:r>
        <w:t xml:space="preserve"> </w:t>
      </w:r>
    </w:p>
    <w:p>
      <w:pPr>
        <w:jc w:val="left"/>
      </w:pPr>
      <w:r>
        <w:rPr>
          <w:rFonts w:ascii="Garamond" w:hAnsi="Garamond"/>
          <w:b/>
          <w:color w:val="0F3D2E"/>
          <w:sz w:val="26"/>
        </w:rPr>
        <w:t>IV – Intentions et objectifs</w:t>
      </w:r>
    </w:p>
    <w:p>
      <w:pPr>
        <w:jc w:val="left"/>
      </w:pPr>
      <w:r>
        <w:rPr>
          <w:color w:val="8C1C13"/>
          <w:sz w:val="28"/>
        </w:rPr>
        <w:t>▌</w:t>
      </w:r>
      <w:r/>
    </w:p>
    <w:p>
      <w:pPr>
        <w:jc w:val="left"/>
      </w:pPr>
      <w:r>
        <w:rPr>
          <w:i/>
          <w:color w:val="333333"/>
          <w:sz w:val="20"/>
        </w:rPr>
        <w:t>Formulez une intention générale puis des objectifs opérationnels mesurables</w:t>
      </w:r>
    </w:p>
    <w:p>
      <w:r>
        <w:t>Finalité générale du projet (vision d’ensemble) :</w:t>
      </w:r>
    </w:p>
    <w:p>
      <w:r>
        <w:t xml:space="preserve"> </w:t>
      </w:r>
    </w:p>
    <w:p>
      <w:r>
        <w:t xml:space="preserve"> </w:t>
      </w:r>
    </w:p>
    <w:p>
      <w:r>
        <w:t>Objectifs opérationnels (effets attendus pour les habitants et le territoire) :</w:t>
      </w:r>
    </w:p>
    <w:p>
      <w:r>
        <w:t xml:space="preserve"> </w:t>
      </w:r>
    </w:p>
    <w:p>
      <w:r>
        <w:t xml:space="preserve"> </w:t>
      </w:r>
    </w:p>
    <w:p>
      <w:r>
        <w:t xml:space="preserve"> </w:t>
      </w:r>
    </w:p>
    <w:p>
      <w:pPr>
        <w:jc w:val="left"/>
      </w:pPr>
      <w:r>
        <w:rPr>
          <w:rFonts w:ascii="Garamond" w:hAnsi="Garamond"/>
          <w:b/>
          <w:color w:val="0F3D2E"/>
          <w:sz w:val="26"/>
        </w:rPr>
        <w:t>V – Actions prévues</w:t>
      </w:r>
    </w:p>
    <w:p>
      <w:pPr>
        <w:jc w:val="left"/>
      </w:pPr>
      <w:r>
        <w:rPr>
          <w:color w:val="8C1C13"/>
          <w:sz w:val="28"/>
        </w:rPr>
        <w:t>▌</w:t>
      </w:r>
      <w:r/>
    </w:p>
    <w:p>
      <w:pPr>
        <w:jc w:val="left"/>
      </w:pPr>
      <w:r>
        <w:rPr>
          <w:i/>
          <w:color w:val="333333"/>
          <w:sz w:val="20"/>
        </w:rPr>
        <w:t>Détaillez les actions clés qui donneront corps au projet social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62"/>
        <w:gridCol w:w="1662"/>
        <w:gridCol w:w="1662"/>
        <w:gridCol w:w="1662"/>
        <w:gridCol w:w="1662"/>
        <w:gridCol w:w="1662"/>
      </w:tblGrid>
      <w:tr>
        <w:tc>
          <w:tcPr>
            <w:tcW w:type="dxa" w:w="1662"/>
            <w:shd w:fill="8C1C13"/>
          </w:tcPr>
          <w:p>
            <w:pPr>
              <w:jc w:val="center"/>
            </w:pPr>
            <w:r>
              <w:rPr>
                <w:b/>
                <w:color w:val="FFFFFF"/>
              </w:rPr>
              <w:t>Action</w:t>
            </w:r>
          </w:p>
        </w:tc>
        <w:tc>
          <w:tcPr>
            <w:tcW w:type="dxa" w:w="1662"/>
            <w:shd w:fill="8C1C13"/>
          </w:tcPr>
          <w:p>
            <w:pPr>
              <w:jc w:val="center"/>
            </w:pPr>
            <w:r>
              <w:rPr>
                <w:b/>
                <w:color w:val="FFFFFF"/>
              </w:rPr>
              <w:t>Description synthétique</w:t>
            </w:r>
          </w:p>
        </w:tc>
        <w:tc>
          <w:tcPr>
            <w:tcW w:type="dxa" w:w="1662"/>
            <w:shd w:fill="8C1C13"/>
          </w:tcPr>
          <w:p>
            <w:pPr>
              <w:jc w:val="center"/>
            </w:pPr>
            <w:r>
              <w:rPr>
                <w:b/>
                <w:color w:val="FFFFFF"/>
              </w:rPr>
              <w:t>Fréquence / Durée</w:t>
            </w:r>
          </w:p>
        </w:tc>
        <w:tc>
          <w:tcPr>
            <w:tcW w:type="dxa" w:w="1662"/>
            <w:shd w:fill="8C1C13"/>
          </w:tcPr>
          <w:p>
            <w:pPr>
              <w:jc w:val="center"/>
            </w:pPr>
            <w:r>
              <w:rPr>
                <w:b/>
                <w:color w:val="FFFFFF"/>
              </w:rPr>
              <w:t>Lieu</w:t>
            </w:r>
          </w:p>
        </w:tc>
        <w:tc>
          <w:tcPr>
            <w:tcW w:type="dxa" w:w="1662"/>
            <w:shd w:fill="8C1C13"/>
          </w:tcPr>
          <w:p>
            <w:pPr>
              <w:jc w:val="center"/>
            </w:pPr>
            <w:r>
              <w:rPr>
                <w:b/>
                <w:color w:val="FFFFFF"/>
              </w:rPr>
              <w:t>Public visé</w:t>
            </w:r>
          </w:p>
        </w:tc>
        <w:tc>
          <w:tcPr>
            <w:tcW w:type="dxa" w:w="1662"/>
            <w:shd w:fill="8C1C13"/>
          </w:tcPr>
          <w:p>
            <w:pPr>
              <w:jc w:val="center"/>
            </w:pPr>
            <w:r>
              <w:rPr>
                <w:b/>
                <w:color w:val="FFFFFF"/>
              </w:rPr>
              <w:t>Référent / Partenaire</w:t>
            </w:r>
          </w:p>
        </w:tc>
      </w:tr>
      <w:tr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</w:tr>
      <w:tr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</w:tr>
      <w:tr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</w:tr>
      <w:tr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</w:tr>
    </w:tbl>
    <w:p>
      <w:r>
        <w:t xml:space="preserve"> </w:t>
      </w:r>
    </w:p>
    <w:p>
      <w:r>
        <w:t>Précisions complémentaires (méthodes d’animation, posture d’équipe, horaires aménagés, etc.) :</w:t>
      </w:r>
    </w:p>
    <w:p>
      <w:r>
        <w:t xml:space="preserve"> </w:t>
      </w:r>
    </w:p>
    <w:p>
      <w:r>
        <w:t xml:space="preserve"> </w:t>
      </w:r>
    </w:p>
    <w:p>
      <w:pPr>
        <w:jc w:val="left"/>
      </w:pPr>
      <w:r>
        <w:rPr>
          <w:rFonts w:ascii="Garamond" w:hAnsi="Garamond"/>
          <w:b/>
          <w:color w:val="0F3D2E"/>
          <w:sz w:val="26"/>
        </w:rPr>
        <w:t>VI – Moyens mobilisés</w:t>
      </w:r>
    </w:p>
    <w:p>
      <w:pPr>
        <w:jc w:val="left"/>
      </w:pPr>
      <w:r>
        <w:rPr>
          <w:color w:val="8C1C13"/>
          <w:sz w:val="28"/>
        </w:rPr>
        <w:t>▌</w:t>
      </w:r>
      <w:r/>
    </w:p>
    <w:p>
      <w:pPr>
        <w:jc w:val="left"/>
      </w:pPr>
      <w:r>
        <w:rPr>
          <w:i/>
          <w:color w:val="333333"/>
          <w:sz w:val="20"/>
        </w:rPr>
        <w:t>Précisez les moyens humains, matériels, logistiques et financiers mobilisés</w:t>
      </w:r>
    </w:p>
    <w:p>
      <w:r>
        <w:t>Moyens humains (salariés, bénévoles, intervenants extérieurs, habitants-relais) :</w:t>
      </w:r>
    </w:p>
    <w:p>
      <w:r>
        <w:t xml:space="preserve"> </w:t>
      </w:r>
    </w:p>
    <w:p>
      <w:r>
        <w:t xml:space="preserve"> </w:t>
      </w:r>
    </w:p>
    <w:p>
      <w:r>
        <w:t>Moyens matériels et logistiques (locaux, équipements, transports, communication, numérique) :</w:t>
      </w:r>
    </w:p>
    <w:p>
      <w:r>
        <w:t xml:space="preserve"> </w:t>
      </w:r>
    </w:p>
    <w:p>
      <w:r>
        <w:t xml:space="preserve"> </w:t>
      </w:r>
    </w:p>
    <w:p>
      <w:r>
        <w:t>Budget prévisionnel (grandes lignes par poste de dépenses et ressources) :</w:t>
      </w:r>
    </w:p>
    <w:p>
      <w:r>
        <w:t xml:space="preserve"> </w:t>
      </w:r>
    </w:p>
    <w:p>
      <w:r>
        <w:t xml:space="preserve"> </w:t>
      </w:r>
    </w:p>
    <w:p>
      <w:r>
        <w:t xml:space="preserve"> </w:t>
      </w:r>
    </w:p>
    <w:p>
      <w:pPr>
        <w:jc w:val="left"/>
      </w:pPr>
      <w:r>
        <w:rPr>
          <w:rFonts w:ascii="Garamond" w:hAnsi="Garamond"/>
          <w:b/>
          <w:color w:val="0F3D2E"/>
          <w:sz w:val="26"/>
        </w:rPr>
        <w:t>VII – Calendrier prévisionnel</w:t>
      </w:r>
    </w:p>
    <w:p>
      <w:pPr>
        <w:jc w:val="left"/>
      </w:pPr>
      <w:r>
        <w:rPr>
          <w:color w:val="8C1C13"/>
          <w:sz w:val="28"/>
        </w:rPr>
        <w:t>▌</w:t>
      </w:r>
      <w:r/>
    </w:p>
    <w:p>
      <w:pPr>
        <w:jc w:val="left"/>
      </w:pPr>
      <w:r>
        <w:rPr>
          <w:i/>
          <w:color w:val="333333"/>
          <w:sz w:val="20"/>
        </w:rPr>
        <w:t>Présentez les grandes étapes du projet, leurs échéances et les responsables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fill="0F3D2E"/>
          </w:tcPr>
          <w:p>
            <w:pPr>
              <w:jc w:val="center"/>
            </w:pPr>
            <w:r>
              <w:rPr>
                <w:b/>
                <w:color w:val="FFFFFF"/>
              </w:rPr>
              <w:t>Période</w:t>
            </w:r>
          </w:p>
        </w:tc>
        <w:tc>
          <w:tcPr>
            <w:tcW w:type="dxa" w:w="2493"/>
            <w:shd w:fill="0F3D2E"/>
          </w:tcPr>
          <w:p>
            <w:pPr>
              <w:jc w:val="center"/>
            </w:pPr>
            <w:r>
              <w:rPr>
                <w:b/>
                <w:color w:val="FFFFFF"/>
              </w:rPr>
              <w:t>Étape / action clé</w:t>
            </w:r>
          </w:p>
        </w:tc>
        <w:tc>
          <w:tcPr>
            <w:tcW w:type="dxa" w:w="2493"/>
            <w:shd w:fill="0F3D2E"/>
          </w:tcPr>
          <w:p>
            <w:pPr>
              <w:jc w:val="center"/>
            </w:pPr>
            <w:r>
              <w:rPr>
                <w:b/>
                <w:color w:val="FFFFFF"/>
              </w:rPr>
              <w:t>Responsable</w:t>
            </w:r>
          </w:p>
        </w:tc>
        <w:tc>
          <w:tcPr>
            <w:tcW w:type="dxa" w:w="2493"/>
            <w:shd w:fill="0F3D2E"/>
          </w:tcPr>
          <w:p>
            <w:pPr>
              <w:jc w:val="center"/>
            </w:pPr>
            <w:r>
              <w:rPr>
                <w:b/>
                <w:color w:val="FFFFFF"/>
              </w:rPr>
              <w:t>Commentaires</w:t>
            </w:r>
          </w:p>
        </w:tc>
      </w:tr>
      <w:tr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/>
          </w:p>
        </w:tc>
      </w:tr>
      <w:tr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/>
          </w:p>
        </w:tc>
      </w:tr>
      <w:tr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/>
          </w:p>
        </w:tc>
      </w:tr>
      <w:tr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/>
          </w:p>
        </w:tc>
      </w:tr>
      <w:tr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/>
          </w:p>
        </w:tc>
      </w:tr>
    </w:tbl>
    <w:p>
      <w:r>
        <w:t xml:space="preserve"> </w:t>
      </w:r>
    </w:p>
    <w:p>
      <w:r>
        <w:t xml:space="preserve"> </w:t>
      </w:r>
    </w:p>
    <w:p>
      <w:pPr>
        <w:jc w:val="left"/>
      </w:pPr>
      <w:r>
        <w:rPr>
          <w:rFonts w:ascii="Garamond" w:hAnsi="Garamond"/>
          <w:b/>
          <w:color w:val="0F3D2E"/>
          <w:sz w:val="26"/>
        </w:rPr>
        <w:t>VIII – Partenariats et gouvernance</w:t>
      </w:r>
    </w:p>
    <w:p>
      <w:pPr>
        <w:jc w:val="left"/>
      </w:pPr>
      <w:r>
        <w:rPr>
          <w:color w:val="8C1C13"/>
          <w:sz w:val="28"/>
        </w:rPr>
        <w:t>▌</w:t>
      </w:r>
      <w:r/>
    </w:p>
    <w:p>
      <w:pPr>
        <w:jc w:val="left"/>
      </w:pPr>
      <w:r>
        <w:rPr>
          <w:i/>
          <w:color w:val="333333"/>
          <w:sz w:val="20"/>
        </w:rPr>
        <w:t>Indiquez la manière dont le projet est piloté et co-construit</w:t>
      </w:r>
    </w:p>
    <w:p>
      <w:r>
        <w:t>Partenaires pressentis (institutions, associations, structures de proximité, acteurs économiques) :</w:t>
      </w:r>
    </w:p>
    <w:p>
      <w:r>
        <w:t xml:space="preserve"> </w:t>
      </w:r>
    </w:p>
    <w:p>
      <w:r>
        <w:t xml:space="preserve"> </w:t>
      </w:r>
    </w:p>
    <w:p>
      <w:r>
        <w:t>Modalités de gouvernance (comité de pilotage, instances de suivi, place des habitants) :</w:t>
      </w:r>
    </w:p>
    <w:p>
      <w:r>
        <w:t xml:space="preserve"> </w:t>
      </w:r>
    </w:p>
    <w:p>
      <w:r>
        <w:t xml:space="preserve"> </w:t>
      </w:r>
    </w:p>
    <w:p>
      <w:r>
        <w:t xml:space="preserve"> </w:t>
      </w:r>
    </w:p>
    <w:p>
      <w:pPr>
        <w:jc w:val="left"/>
      </w:pPr>
      <w:r>
        <w:rPr>
          <w:rFonts w:ascii="Garamond" w:hAnsi="Garamond"/>
          <w:b/>
          <w:color w:val="0F3D2E"/>
          <w:sz w:val="26"/>
        </w:rPr>
        <w:t>IX – Indicateurs et évaluation</w:t>
      </w:r>
    </w:p>
    <w:p>
      <w:pPr>
        <w:jc w:val="left"/>
      </w:pPr>
      <w:r>
        <w:rPr>
          <w:color w:val="8C1C13"/>
          <w:sz w:val="28"/>
        </w:rPr>
        <w:t>▌</w:t>
      </w:r>
      <w:r/>
    </w:p>
    <w:p>
      <w:pPr>
        <w:jc w:val="left"/>
      </w:pPr>
      <w:r>
        <w:rPr>
          <w:i/>
          <w:color w:val="333333"/>
          <w:sz w:val="20"/>
        </w:rPr>
        <w:t>Proposez des indicateurs qualitatifs et quantitatifs, ainsi que les modalités de suivi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fill="C49A29"/>
          </w:tcPr>
          <w:p>
            <w:pPr>
              <w:jc w:val="center"/>
            </w:pPr>
            <w:r>
              <w:rPr>
                <w:b/>
                <w:color w:val="FFFFFF"/>
              </w:rPr>
              <w:t>Objectif concerné</w:t>
            </w:r>
          </w:p>
        </w:tc>
        <w:tc>
          <w:tcPr>
            <w:tcW w:type="dxa" w:w="2493"/>
            <w:shd w:fill="C49A29"/>
          </w:tcPr>
          <w:p>
            <w:pPr>
              <w:jc w:val="center"/>
            </w:pPr>
            <w:r>
              <w:rPr>
                <w:b/>
                <w:color w:val="FFFFFF"/>
              </w:rPr>
              <w:t>Indicateur</w:t>
            </w:r>
          </w:p>
        </w:tc>
        <w:tc>
          <w:tcPr>
            <w:tcW w:type="dxa" w:w="2493"/>
            <w:shd w:fill="C49A29"/>
          </w:tcPr>
          <w:p>
            <w:pPr>
              <w:jc w:val="center"/>
            </w:pPr>
            <w:r>
              <w:rPr>
                <w:b/>
                <w:color w:val="FFFFFF"/>
              </w:rPr>
              <w:t>Source / méthode de collecte</w:t>
            </w:r>
          </w:p>
        </w:tc>
        <w:tc>
          <w:tcPr>
            <w:tcW w:type="dxa" w:w="2493"/>
            <w:shd w:fill="C49A29"/>
          </w:tcPr>
          <w:p>
            <w:pPr>
              <w:jc w:val="center"/>
            </w:pPr>
            <w:r>
              <w:rPr>
                <w:b/>
                <w:color w:val="FFFFFF"/>
              </w:rPr>
              <w:t>Périodicité</w:t>
            </w:r>
          </w:p>
        </w:tc>
      </w:tr>
      <w:tr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/>
          </w:p>
        </w:tc>
      </w:tr>
      <w:tr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/>
          </w:p>
        </w:tc>
      </w:tr>
      <w:tr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/>
          </w:p>
        </w:tc>
      </w:tr>
      <w:tr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/>
          </w:p>
        </w:tc>
        <w:tc>
          <w:tcPr>
            <w:tcW w:type="dxa" w:w="2493"/>
          </w:tcPr>
          <w:p>
            <w:r/>
          </w:p>
        </w:tc>
      </w:tr>
    </w:tbl>
    <w:p>
      <w:r>
        <w:t xml:space="preserve"> </w:t>
      </w:r>
    </w:p>
    <w:p>
      <w:r>
        <w:t xml:space="preserve"> </w:t>
      </w:r>
    </w:p>
    <w:p>
      <w:r>
        <w:t>Modalités de retour aux habitants et aux partenaires (restitution, bilan partagé, ajustements en cours de route) :</w:t>
      </w:r>
    </w:p>
    <w:p>
      <w:r>
        <w:t xml:space="preserve"> </w:t>
      </w:r>
    </w:p>
    <w:p>
      <w:r>
        <w:t xml:space="preserve"> </w:t>
      </w:r>
    </w:p>
    <w:p>
      <w:r>
        <w:t xml:space="preserve"> </w:t>
      </w:r>
    </w:p>
    <w:p>
      <w:pPr>
        <w:jc w:val="left"/>
      </w:pPr>
      <w:r>
        <w:rPr>
          <w:rFonts w:ascii="Garamond" w:hAnsi="Garamond"/>
          <w:b/>
          <w:color w:val="0F3D2E"/>
          <w:sz w:val="26"/>
        </w:rPr>
        <w:t>X – Engagements et signatures</w:t>
      </w:r>
    </w:p>
    <w:p>
      <w:pPr>
        <w:jc w:val="left"/>
      </w:pPr>
      <w:r>
        <w:rPr>
          <w:color w:val="8C1C13"/>
          <w:sz w:val="28"/>
        </w:rPr>
        <w:t>▌</w:t>
      </w:r>
      <w:r/>
    </w:p>
    <w:p>
      <w:pPr>
        <w:jc w:val="left"/>
      </w:pPr>
      <w:r>
        <w:rPr>
          <w:i/>
          <w:color w:val="333333"/>
          <w:sz w:val="20"/>
        </w:rPr>
        <w:t>Formulez les engagements formels de la structure porteuse et, le cas échéant, des partenaires</w:t>
      </w:r>
    </w:p>
    <w:p>
      <w:r>
        <w:t>Lieu et date :</w:t>
      </w:r>
    </w:p>
    <w:p>
      <w:r>
        <w:t xml:space="preserve"> </w:t>
      </w:r>
    </w:p>
    <w:p>
      <w:r>
        <w:t>Nom, qualité et signature du représentant légal de la structure porteuse :</w:t>
      </w:r>
    </w:p>
    <w:p>
      <w:r>
        <w:t xml:space="preserve"> </w:t>
      </w:r>
    </w:p>
    <w:p>
      <w:r>
        <w:t xml:space="preserve"> </w:t>
      </w:r>
    </w:p>
    <w:p>
      <w:r>
        <w:t xml:space="preserve"> </w:t>
      </w:r>
    </w:p>
    <w:p>
      <w:r>
        <w:t>Nom, qualité et signature d’un représentant des partenaires (le cas échéant) :</w:t>
      </w:r>
    </w:p>
    <w:p>
      <w:r>
        <w:t xml:space="preserve"> </w:t>
      </w:r>
    </w:p>
    <w:p>
      <w:r>
        <w:t xml:space="preserve"> </w:t>
      </w:r>
    </w:p>
    <w:p>
      <w:r>
        <w:t xml:space="preserve"> </w:t>
      </w:r>
    </w:p>
    <w:p>
      <w:pPr>
        <w:jc w:val="center"/>
      </w:pPr>
      <w:r>
        <w:rPr>
          <w:i/>
          <w:color w:val="333333"/>
          <w:sz w:val="18"/>
        </w:rPr>
        <w:t>Modèle de projet social inspiré de la charte The Kingdom of Decrees – librement adaptable à vos réalités de terrain.</w:t>
      </w:r>
    </w:p>
    <w:sectPr w:rsidR="00FC693F" w:rsidRPr="0006063C" w:rsidSect="00034616">
      <w:pgSz w:w="12240" w:h="15840"/>
      <w:pgMar w:top="1417" w:right="1134" w:bottom="141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aramond" w:hAnsi="Garamond"/>
      <w:color w:val="333333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