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color w:val="780000"/>
          <w:sz w:val="22"/>
        </w:rPr>
        <w:t>THE KINGDOM OF DECREES &amp; CEREMONIES</w:t>
      </w:r>
    </w:p>
    <w:p>
      <w:pPr>
        <w:jc w:val="center"/>
      </w:pPr>
      <w:r>
        <w:rPr>
          <w:rFonts w:ascii="Times New Roman" w:hAnsi="Times New Roman"/>
          <w:i/>
          <w:color w:val="780000"/>
          <w:sz w:val="20"/>
        </w:rPr>
        <w:t>Chancellerie – Note diplomatique interne (exemple, style très soutenu)</w:t>
      </w:r>
    </w:p>
    <w:p/>
    <w:p>
      <w:pPr>
        <w:jc w:val="center"/>
      </w:pPr>
      <w:r>
        <w:rPr>
          <w:rFonts w:ascii="Times New Roman" w:hAnsi="Times New Roman"/>
          <w:b/>
          <w:color w:val="780000"/>
          <w:sz w:val="32"/>
        </w:rPr>
        <w:t>NOTE DIPLOMATIQUE INTERNE</w:t>
      </w:r>
    </w:p>
    <w:p>
      <w:pPr>
        <w:jc w:val="center"/>
      </w:pPr>
      <w:r>
        <w:rPr>
          <w:rFonts w:ascii="Times New Roman" w:hAnsi="Times New Roman"/>
          <w:i/>
          <w:sz w:val="22"/>
        </w:rPr>
        <w:t>Exemple de chancellerie – Sommet régional sur la sécurité énergétique</w:t>
      </w:r>
    </w:p>
    <w:p/>
    <w:p>
      <w:r>
        <w:rPr>
          <w:rFonts w:ascii="Times New Roman" w:hAnsi="Times New Roman"/>
          <w:b/>
        </w:rPr>
        <w:t xml:space="preserve">ÉMETTEUR : </w:t>
      </w:r>
      <w:r>
        <w:rPr>
          <w:rFonts w:ascii="Times New Roman" w:hAnsi="Times New Roman"/>
          <w:sz w:val="22"/>
        </w:rPr>
        <w:t>Ambassade du Royaume des Décrets en République de Lumeria</w:t>
      </w:r>
    </w:p>
    <w:p>
      <w:r>
        <w:rPr>
          <w:rFonts w:ascii="Times New Roman" w:hAnsi="Times New Roman"/>
          <w:b/>
        </w:rPr>
        <w:t xml:space="preserve">DESTINATAIRE : </w:t>
      </w:r>
      <w:r>
        <w:rPr>
          <w:rFonts w:ascii="Times New Roman" w:hAnsi="Times New Roman"/>
          <w:sz w:val="22"/>
        </w:rPr>
        <w:t>Ministre des Affaires étrangères du Royaume des Décrets</w:t>
      </w:r>
    </w:p>
    <w:p>
      <w:r>
        <w:rPr>
          <w:rFonts w:ascii="Times New Roman" w:hAnsi="Times New Roman"/>
          <w:b/>
        </w:rPr>
        <w:t xml:space="preserve">LIEU, DATE : </w:t>
      </w:r>
      <w:r>
        <w:rPr>
          <w:rFonts w:ascii="Times New Roman" w:hAnsi="Times New Roman"/>
          <w:sz w:val="22"/>
        </w:rPr>
        <w:t>Lumeris, le 15 avril 2025</w:t>
      </w:r>
    </w:p>
    <w:p>
      <w:r>
        <w:rPr>
          <w:rFonts w:ascii="Times New Roman" w:hAnsi="Times New Roman"/>
          <w:b/>
        </w:rPr>
        <w:t xml:space="preserve">OBJET : </w:t>
      </w:r>
      <w:r>
        <w:rPr>
          <w:rFonts w:ascii="Times New Roman" w:hAnsi="Times New Roman"/>
          <w:sz w:val="22"/>
        </w:rPr>
        <w:t>Sommet régional lumerien sur la sécurité énergétique – Offre de co‑présidence au Royaume</w:t>
      </w:r>
    </w:p>
    <w:p>
      <w:r>
        <w:rPr>
          <w:rFonts w:ascii="Times New Roman" w:hAnsi="Times New Roman"/>
          <w:b/>
        </w:rPr>
        <w:t xml:space="preserve">RÉF. : </w:t>
      </w:r>
      <w:r>
        <w:rPr>
          <w:rFonts w:ascii="Times New Roman" w:hAnsi="Times New Roman"/>
          <w:sz w:val="22"/>
        </w:rPr>
        <w:t>Télégramme n° 21/SD-LUM du 2 avril 2025 ; Note n° 08/DAE du 5 avril 2025</w:t>
      </w:r>
    </w:p>
    <w:p>
      <w:pPr>
        <w:jc w:val="center"/>
      </w:pPr>
      <w:r>
        <w:rPr>
          <w:color w:val="A0A0A0"/>
        </w:rPr>
        <w:t>――――――――――――――――――――――――――――――――――――――――</w:t>
      </w:r>
    </w:p>
    <w:p>
      <w:pPr>
        <w:pStyle w:val="Heading1"/>
        <w:jc w:val="left"/>
      </w:pPr>
      <w:r>
        <w:rPr>
          <w:color w:val="780000"/>
        </w:rPr>
        <w:t>Résumé exécutif</w:t>
      </w:r>
    </w:p>
    <w:p>
      <w:pPr>
        <w:ind w:firstLine="283"/>
      </w:pPr>
      <w:r>
        <w:rPr>
          <w:rFonts w:ascii="Times New Roman" w:hAnsi="Times New Roman"/>
          <w:sz w:val="22"/>
        </w:rPr>
        <w:t>Les autorités lumeriennes proposent de tenir, dans les prochains mois, un sommet régional consacré à la sécurité énergétique et suggèrent que le Royaume des Décrets accepte d’en assumer la co‑présidence politique. Cette initiative intervient à un moment où notre pays se trouve au croisement de deux exigences que l’actualité rend plus aiguës encore : d’une part, la nécessité de garantir la continuité de ses approvisionnements, d’autre part, la ferme résolution de respecter les orientations prises en matière de transition climatique. Dans ce contexte, un refus abrupt apparaîtrait, aux yeux de nos partenaires, comme un signal de retrait difficile à justifier, tandis qu’une adhésion sans balisage nous exposerait à des attentes excessives et à des lectures contraires à nos intérêts. L’Ambassade considère, sous le bénéfice de ces observations, que la voie la plus conforme à nos objectifs consiste à accepter la co‑présidence, mais en l’adossant à un mandat explicitement défini, de manière à transformer ce sommet en occasion de clarification de notre ligne plutôt qu’en source de vulnérabilité.</w:t>
      </w:r>
    </w:p>
    <w:p>
      <w:pPr>
        <w:pStyle w:val="Heading1"/>
      </w:pPr>
      <w:r>
        <w:rPr>
          <w:color w:val="780000"/>
        </w:rPr>
        <w:t>1. Contexte</w:t>
      </w:r>
    </w:p>
    <w:p>
      <w:pPr>
        <w:ind w:firstLine="283"/>
      </w:pPr>
      <w:r>
        <w:rPr>
          <w:rFonts w:ascii="Times New Roman" w:hAnsi="Times New Roman"/>
          <w:sz w:val="22"/>
        </w:rPr>
        <w:t>Le 28 mars 2025, devant le Parlement lumerien, le ministre de l’Énergie a esquissé le projet de réunir, à Lumeris, les principaux États de la région autour d’un sommet dédié à la sécurité énergétique. Dans le prolongement immédiat de cette déclaration, le Ministère lumerien des Affaires étrangères a saisi l’Ambassade, le 1er avril, pour sonder la disponibilité du Royaume à assumer la co‑présidence politique de ce rendez‑vous.</w:t>
        <w:br/>
        <w:br/>
        <w:t>Le Royaume des Décrets demeure, à ce stade, structurellement tributaire des flux énergétiques en provenance de la région lumerienne pour une part substantielle de son approvisionnement. Parallèlement, le Gouvernement a affirmé, à plusieurs reprises, son ambition de s’inscrire dans une trajectoire de transition maîtrisée, conciliant sécurité d’accès aux ressources et réduction graduelle de l’empreinte carbone. Cette double orientation, qui fait l’objet d’une attention soutenue du Parlement, des acteurs économiques et de la société civile, confère à notre position une visibilité particulière dans le voisinage.</w:t>
        <w:br/>
        <w:br/>
        <w:t>Les partenaires régionaux observent, non sans attentes, la manière dont le Royaume conjugue, en pratique, ces différentes dimensions. L’initiative lumerienne doit être lue, dès lors, à la fois comme une offre de coopération et comme un geste visant à consacrer Lumeria dans un rôle de plaque tournante diplomatique et énergétique de la région.</w:t>
      </w:r>
    </w:p>
    <w:p>
      <w:pPr>
        <w:pStyle w:val="Heading1"/>
      </w:pPr>
      <w:r>
        <w:rPr>
          <w:color w:val="780000"/>
        </w:rPr>
        <w:t>2. Analyse des enjeux</w:t>
      </w:r>
    </w:p>
    <w:p>
      <w:pPr>
        <w:ind w:firstLine="283"/>
      </w:pPr>
      <w:r>
        <w:rPr>
          <w:rFonts w:ascii="Times New Roman" w:hAnsi="Times New Roman"/>
          <w:sz w:val="22"/>
        </w:rPr>
        <w:t>L’acceptation ou le refus de la co‑présidence ne relève pas du seul registre protocolaire. Elle touche à plusieurs niveaux de notre position extérieure et interne, qu’il convient de distinguer pour mieux en apprécier la portée.</w:t>
      </w:r>
    </w:p>
    <w:p>
      <w:r>
        <w:rPr>
          <w:rFonts w:ascii="Times New Roman" w:hAnsi="Times New Roman"/>
          <w:b/>
        </w:rPr>
        <w:t xml:space="preserve">– Enjeux politiques : </w:t>
      </w:r>
      <w:r>
        <w:rPr>
          <w:rFonts w:ascii="Times New Roman" w:hAnsi="Times New Roman"/>
          <w:sz w:val="22"/>
        </w:rPr>
        <w:t>en assumant la co‑présidence, le Royaume confirmerait son rang de partenaire structurant au sein du voisinage lumerien et manifesterait sa disponibilité à contribuer à l’architecture collective de sécurité énergétique. Un refus, même enveloppé de formules courtoises, serait interprété comme une mise à distance et nourrirait l’idée d’un repli, peu compatible avec l’image de fiabilité que nous nous attachons à cultiver.</w:t>
      </w:r>
    </w:p>
    <w:p>
      <w:r>
        <w:rPr>
          <w:rFonts w:ascii="Times New Roman" w:hAnsi="Times New Roman"/>
          <w:b/>
        </w:rPr>
        <w:t xml:space="preserve">– Enjeux économiques : </w:t>
      </w:r>
      <w:r>
        <w:rPr>
          <w:rFonts w:ascii="Times New Roman" w:hAnsi="Times New Roman"/>
          <w:sz w:val="22"/>
        </w:rPr>
        <w:t>le sommet offrirait un cadre propice pour rappeler la nécessité de mécanismes de prévisibilité et de stabilisation des approvisionnements, et pour engager, en marge, des échanges bilatéraux ciblés sur l’ajustement de certaines clauses contractuelles. Une présence discrète, voire effacée, laisserait le champ libre à des acteurs concurrents désireux de se présenter comme partenaires de référence auprès des fournisseurs régionaux.</w:t>
      </w:r>
    </w:p>
    <w:p>
      <w:r>
        <w:rPr>
          <w:rFonts w:ascii="Times New Roman" w:hAnsi="Times New Roman"/>
          <w:b/>
        </w:rPr>
        <w:t xml:space="preserve">– Enjeux juridiques : </w:t>
      </w:r>
      <w:r>
        <w:rPr>
          <w:rFonts w:ascii="Times New Roman" w:hAnsi="Times New Roman"/>
          <w:sz w:val="22"/>
        </w:rPr>
        <w:t>les travaux pourraient déboucher sur des déclarations politiques conjointes ou sur des cadres de coopération non contraignants. Il conviendra de veiller à ce qu’aucune formulation ne soit de nature à créer, de facto, des obligations implicites ou à restreindre la marge de manœuvre reconnue au Royaume par les instruments juridiques auxquels il est déjà partie, sans préjudice des négociations ultérieures.</w:t>
      </w:r>
    </w:p>
    <w:p>
      <w:r>
        <w:rPr>
          <w:rFonts w:ascii="Times New Roman" w:hAnsi="Times New Roman"/>
          <w:b/>
        </w:rPr>
        <w:t xml:space="preserve">– Enjeux d’image et de communication : </w:t>
      </w:r>
      <w:r>
        <w:rPr>
          <w:rFonts w:ascii="Times New Roman" w:hAnsi="Times New Roman"/>
          <w:sz w:val="22"/>
        </w:rPr>
        <w:t>la co‑présidence placerait le Royaume en première ligne médiatique. Bien préparée, cette exposition permettrait de présenter, dans un langage mesuré, la manière dont nous conjuguons sécurité énergétique et responsabilité climatique, et de déjouer ainsi les procès en « double discours ». Mal maîtrisée, elle pourrait, à l’inverse, alimenter les critiques internes et donner prise à des interprétations réductrices de notre position.</w:t>
      </w:r>
    </w:p>
    <w:p>
      <w:pPr>
        <w:pStyle w:val="Heading1"/>
      </w:pPr>
      <w:r>
        <w:rPr>
          <w:color w:val="780000"/>
        </w:rPr>
        <w:t>3. Options envisageables</w:t>
      </w:r>
    </w:p>
    <w:p>
      <w:pPr>
        <w:ind w:firstLine="283"/>
      </w:pPr>
      <w:r>
        <w:rPr>
          <w:rFonts w:ascii="Times New Roman" w:hAnsi="Times New Roman"/>
          <w:sz w:val="22"/>
        </w:rPr>
        <w:t>Dans cette configuration, trois lignes de conduite peuvent raisonnablement être distinguées. Elles se différencient moins par le contenu de fond que par le degré d’exposition et de cadrage que le Royaume accepterait d’assumer.</w:t>
      </w:r>
    </w:p>
    <w:p>
      <w:r>
        <w:rPr>
          <w:rFonts w:ascii="Times New Roman" w:hAnsi="Times New Roman"/>
          <w:b/>
        </w:rPr>
        <w:t>Option A – Acceptation pleine et sans condition de la co‑présidence</w:t>
      </w:r>
    </w:p>
    <w:p>
      <w:pPr>
        <w:ind w:left="454"/>
      </w:pPr>
      <w:r>
        <w:rPr>
          <w:rFonts w:ascii="Times New Roman" w:hAnsi="Times New Roman"/>
          <w:b/>
        </w:rPr>
        <w:t xml:space="preserve">Avantages : </w:t>
      </w:r>
      <w:r>
        <w:rPr>
          <w:rFonts w:ascii="Times New Roman" w:hAnsi="Times New Roman"/>
          <w:sz w:val="22"/>
        </w:rPr>
        <w:t>signal d’engagement fort et immédiat ; capacité maximale à peser sur l’agenda et les conclusions ; reconnaissance explicite du rôle central du Royaume dans le dossier énergétique régional.</w:t>
      </w:r>
    </w:p>
    <w:p>
      <w:pPr>
        <w:ind w:left="454"/>
      </w:pPr>
      <w:r>
        <w:rPr>
          <w:rFonts w:ascii="Times New Roman" w:hAnsi="Times New Roman"/>
          <w:b/>
        </w:rPr>
        <w:t xml:space="preserve">Inconvénients / risques : </w:t>
      </w:r>
      <w:r>
        <w:rPr>
          <w:rFonts w:ascii="Times New Roman" w:hAnsi="Times New Roman"/>
          <w:sz w:val="22"/>
        </w:rPr>
        <w:t>attentes très élevées de résultats concrets, difficilement compatibles avec la nature multilatérale de l’exercice ; personnalisation potentielle d’un éventuel échec ; difficulté accrue à corriger, a posteriori, des formulations ou des engagements jugés insuffisamment équilibrés.</w:t>
      </w:r>
    </w:p>
    <w:p>
      <w:r>
        <w:rPr>
          <w:rFonts w:ascii="Times New Roman" w:hAnsi="Times New Roman"/>
          <w:b/>
        </w:rPr>
        <w:t>Option B – Acceptation conditionnelle adossée à un mandat formalisé</w:t>
      </w:r>
    </w:p>
    <w:p>
      <w:pPr>
        <w:ind w:left="454"/>
      </w:pPr>
      <w:r>
        <w:rPr>
          <w:rFonts w:ascii="Times New Roman" w:hAnsi="Times New Roman"/>
          <w:b/>
        </w:rPr>
        <w:t xml:space="preserve">Avantages : </w:t>
      </w:r>
      <w:r>
        <w:rPr>
          <w:rFonts w:ascii="Times New Roman" w:hAnsi="Times New Roman"/>
          <w:sz w:val="22"/>
        </w:rPr>
        <w:t>affirmation claire de notre volonté de contribuer à la réflexion régionale, tout en posant, en amont, les parameters de notre engagement ; possibilité de définir des lignes rouges et des priorités thématiques (sécurisation des flux, diversification, transition) ; articulation plus harmonieuse entre visibilité politique et préservation de nos marges de manœuvre.</w:t>
      </w:r>
    </w:p>
    <w:p>
      <w:pPr>
        <w:ind w:left="454"/>
      </w:pPr>
      <w:r>
        <w:rPr>
          <w:rFonts w:ascii="Times New Roman" w:hAnsi="Times New Roman"/>
          <w:b/>
        </w:rPr>
        <w:t xml:space="preserve">Inconvénients / risques : </w:t>
      </w:r>
      <w:r>
        <w:rPr>
          <w:rFonts w:ascii="Times New Roman" w:hAnsi="Times New Roman"/>
          <w:sz w:val="22"/>
        </w:rPr>
        <w:t>nécessité de mener, dans des délais resserrés, un travail préparatoire approfondi avec la partie lumerienne ; risque que certains partenaires interprètent la référence au mandat comme la marque d’une prudence excessive.</w:t>
      </w:r>
    </w:p>
    <w:p>
      <w:r>
        <w:rPr>
          <w:rFonts w:ascii="Times New Roman" w:hAnsi="Times New Roman"/>
          <w:b/>
        </w:rPr>
        <w:t>Option C – Déclinaison polie de la co‑présidence, participation en simple membre</w:t>
      </w:r>
    </w:p>
    <w:p>
      <w:pPr>
        <w:ind w:left="454"/>
      </w:pPr>
      <w:r>
        <w:rPr>
          <w:rFonts w:ascii="Times New Roman" w:hAnsi="Times New Roman"/>
          <w:b/>
        </w:rPr>
        <w:t xml:space="preserve">Avantages : </w:t>
      </w:r>
      <w:r>
        <w:rPr>
          <w:rFonts w:ascii="Times New Roman" w:hAnsi="Times New Roman"/>
          <w:sz w:val="22"/>
        </w:rPr>
        <w:t>réduction de notre exposition directe ; liberté accrue pour observer les positionnements respectifs ; moindre mobilisation de nos ressources administratives pour l’organisation du sommet.</w:t>
      </w:r>
    </w:p>
    <w:p>
      <w:pPr>
        <w:ind w:left="454"/>
      </w:pPr>
      <w:r>
        <w:rPr>
          <w:rFonts w:ascii="Times New Roman" w:hAnsi="Times New Roman"/>
          <w:b/>
        </w:rPr>
        <w:t xml:space="preserve">Inconvénients / risques : </w:t>
      </w:r>
      <w:r>
        <w:rPr>
          <w:rFonts w:ascii="Times New Roman" w:hAnsi="Times New Roman"/>
          <w:sz w:val="22"/>
        </w:rPr>
        <w:t>signal de recul peu compatible avec l’image d’acteur responsable et constant que nous cherchons à projeter ; occasion offerte à d’autres États de se poser en interlocuteurs incontournables ; affaiblissement possible de notre capacité à influer sur le langage final du sommet.</w:t>
      </w:r>
    </w:p>
    <w:p>
      <w:pPr>
        <w:pStyle w:val="Heading1"/>
      </w:pPr>
      <w:r>
        <w:rPr>
          <w:color w:val="780000"/>
        </w:rPr>
        <w:t>4. Recommandation</w:t>
      </w:r>
    </w:p>
    <w:p>
      <w:pPr>
        <w:ind w:firstLine="283"/>
      </w:pPr>
      <w:r>
        <w:rPr>
          <w:rFonts w:ascii="Times New Roman" w:hAnsi="Times New Roman"/>
          <w:sz w:val="22"/>
        </w:rPr>
        <w:t>Sous le bénéfice de ce qui précède, l’Ambassade estime que l’option B réalise le meilleur équilibre entre la nécessité d’assumer nos responsabilités régionales et le souci de préserver nos marges d’action. Elle recommande en conséquence que le Royaume notifie à la République de Lumeria son accord de principe pour la co‑présidence du sommet, en l’adossant à l’élaboration d’un mandat écrit précisant : (i) les axes de fond sur lesquels le Royaume entend concentrer son expression, (ii) les limites des engagements susceptibles d’être pris dans ce cadre, et (iii) le caractère indispensable de consultations préalables sur toute rédaction de conclusions. Ce faisant, le Royaume serait en mesure de répondre favorablement à l’offre lumerienne tout en plaçant sa participation sous le signe de la cohérence et de la maîtrise.</w:t>
      </w:r>
    </w:p>
    <w:p>
      <w:pPr>
        <w:pStyle w:val="Heading1"/>
      </w:pPr>
      <w:r>
        <w:rPr>
          <w:color w:val="780000"/>
        </w:rPr>
        <w:t>5. Suites à donner</w:t>
      </w:r>
    </w:p>
    <w:p>
      <w:pPr>
        <w:ind w:firstLine="283"/>
      </w:pPr>
      <w:r>
        <w:rPr>
          <w:rFonts w:ascii="Times New Roman" w:hAnsi="Times New Roman"/>
          <w:sz w:val="22"/>
        </w:rPr>
        <w:t>Sous réserve de l’arbitrage ministériel, il conviendrait :</w:t>
        <w:br/>
        <w:t>– d’adresser, dans les meilleurs délais, une note verbale aux autorités lumeriennes confirmant notre accord de principe pour la co‑présidence, en indiquant que le Royaume proposera rapidement un projet de mandat ;</w:t>
        <w:br/>
        <w:t>– de constituer, au sein du Ministère, un groupe restreint associant la Direction des affaires énergétiques, la Direction des affaires juridiques et le Service de la communication, afin de préparer ce projet de mandat ainsi que les éléments de langage correspondants ;</w:t>
        <w:br/>
        <w:t>– de prendre attache, de manière exploratoire, avec deux ou trois partenaires régionaux clés, en vue de sonder leurs attentes et de vérifier la possibilité d’une convergence minimale de vues avant la tenue du sommet.</w:t>
      </w:r>
    </w:p>
    <w:p/>
    <w:p>
      <w:pPr>
        <w:jc w:val="right"/>
      </w:pPr>
      <w:r>
        <w:rPr>
          <w:rFonts w:ascii="Times New Roman" w:hAnsi="Times New Roman"/>
          <w:sz w:val="22"/>
        </w:rPr>
        <w:t>Pour l’Ambassade,</w:t>
        <w:br/>
        <w:t>Le Conseiller politique principal</w:t>
      </w:r>
    </w:p>
    <w:sectPr w:rsidR="00FC693F" w:rsidRPr="0006063C" w:rsidSect="00034616">
      <w:pgSz w:w="12240" w:h="15840"/>
      <w:pgMar w:top="1417" w:right="1134" w:bottom="1134"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